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Организатора процедуры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12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Организатора процедуры: вскрытие конвертов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Комментарий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Процедура вскрытия конвертов с заявкой на участие в открытом Конкурсе по отбору управляющих организаций для управления многоквартирным домам, расположенным по адресу: Белгородская область, с. Бобровы Дворы ул. Скворцова д. 12 прошла успешно, документы приняты к рассмотрению.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Дополнительный текст к описанию события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отображен в извещении открытой части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момент вскрытия конвертов с заявками на участие в Конкурсе поступила всего одна заявка от ООО «Инженерные системы» претендент на Лот №4 (МКД расположенный по адресу: г. Губкин, с. Бобровы Дворы ул. Скворцова д. 12).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Документы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2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Расписка.pdf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Публикация протокола в открытой части электронной площадки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09:52:12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09:52:13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09:52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