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 приема заявок и определении участников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SBR012-2305310051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Форма заключения договора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Бумажный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г. Губкин, ул. Преображенская, 17а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1 069 745.78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Не 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Одна или менее поступивших заявок на участие в конкурсе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участником, признанным единственным участником аукциона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0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701"/>
              <w:gridCol w:w="1074"/>
              <w:gridCol w:w="2421"/>
              <w:gridCol w:w="1586"/>
              <w:gridCol w:w="1408"/>
              <w:gridCol w:w="1408"/>
              <w:gridCol w:w="867"/>
              <w:gridCol w:w="114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Решение о допуске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t xml:space="preserve">Причина отклонения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3032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3127508993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ОБЩЕСТВО С ОГРАНИЧЕННОЙ ОТВЕТСТВЕННОСТЬЮ "ДОМРЕМОНТ"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  <w:t>Допущен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</w:rPr>
                  </w:pP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1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Перечень отозванных заявок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26"/>
              <w:gridCol w:w="1209"/>
              <w:gridCol w:w="1680"/>
              <w:gridCol w:w="2073"/>
              <w:gridCol w:w="1675"/>
              <w:gridCol w:w="1675"/>
              <w:gridCol w:w="14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gridSpan w:val="7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Сведения отсутствуют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4"/>
        <w:gridCol w:w="9263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6"/>
        <w:gridCol w:w="8441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13.07.2023 11:53:28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13.07.2023 11:53:29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13.07.2023 11:53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1195359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block-tbl">
    <w:name w:val="block-tbl 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