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A346C3" w:rsidRDefault="00710EE8" w:rsidP="00A22599">
      <w:pPr>
        <w:jc w:val="both"/>
        <w:rPr>
          <w:sz w:val="22"/>
          <w:szCs w:val="22"/>
        </w:rPr>
      </w:pPr>
      <w:r w:rsidRPr="00A346C3">
        <w:rPr>
          <w:bCs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A346C3">
        <w:rPr>
          <w:bCs/>
        </w:rPr>
        <w:t xml:space="preserve"> </w:t>
      </w:r>
      <w:r w:rsidR="00B40DBC" w:rsidRPr="00B40DBC">
        <w:t>Российская Федерация, Белгородская область, Губкинский городской округ, г. Губкин,</w:t>
      </w:r>
      <w:r w:rsidR="00B40DBC">
        <w:t xml:space="preserve">                       </w:t>
      </w:r>
      <w:r w:rsidR="00B40DBC" w:rsidRPr="00B40DBC">
        <w:t xml:space="preserve"> мкр. Южный</w:t>
      </w:r>
      <w:r>
        <w:t xml:space="preserve">, </w:t>
      </w:r>
      <w:r w:rsidRPr="00A346C3">
        <w:t xml:space="preserve">с </w:t>
      </w:r>
      <w:r w:rsidR="00B40DBC">
        <w:t xml:space="preserve">видом разрешенного использования </w:t>
      </w:r>
      <w:r w:rsidR="00B40DBC" w:rsidRPr="00B40DBC">
        <w:t>«малоэтажная многоквартирная жилая застройка, среднеэтажная жилая застройка»</w:t>
      </w:r>
      <w:r w:rsidRPr="00A346C3">
        <w:t>.</w:t>
      </w:r>
    </w:p>
    <w:p w:rsidR="00710EE8" w:rsidRPr="00A346C3" w:rsidRDefault="00710EE8" w:rsidP="009C1628">
      <w:pPr>
        <w:jc w:val="center"/>
        <w:rPr>
          <w:sz w:val="26"/>
          <w:szCs w:val="26"/>
        </w:rPr>
      </w:pP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составу участников и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 w:rsidR="00B40DBC">
        <w:rPr>
          <w:iCs/>
          <w:sz w:val="22"/>
          <w:szCs w:val="22"/>
        </w:rPr>
        <w:t>22.05.2024</w:t>
      </w:r>
      <w:r w:rsidRPr="00A346C3">
        <w:rPr>
          <w:iCs/>
          <w:sz w:val="22"/>
          <w:szCs w:val="22"/>
        </w:rPr>
        <w:t xml:space="preserve"> № </w:t>
      </w:r>
      <w:r w:rsidR="00B40DBC">
        <w:rPr>
          <w:iCs/>
          <w:sz w:val="22"/>
          <w:szCs w:val="22"/>
        </w:rPr>
        <w:t>630</w:t>
      </w:r>
      <w:r w:rsidRPr="00A346C3">
        <w:rPr>
          <w:iCs/>
          <w:sz w:val="22"/>
          <w:szCs w:val="22"/>
        </w:rPr>
        <w:t>-па                              «О проведении аукциона на право заключения договора аренды земельного участка»;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/факс</w:t>
      </w:r>
      <w:r w:rsidRPr="00A346C3">
        <w:rPr>
          <w:rStyle w:val="a3"/>
          <w:noProof/>
          <w:color w:val="auto"/>
          <w:u w:val="none"/>
        </w:rPr>
        <w:t>:+</w:t>
      </w:r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>–</w:t>
      </w:r>
      <w:r w:rsidRPr="00034C75">
        <w:rPr>
          <w:color w:val="000000" w:themeColor="text1"/>
          <w:sz w:val="22"/>
          <w:szCs w:val="22"/>
        </w:rPr>
        <w:t xml:space="preserve">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034C75" w:rsidRDefault="00710EE8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A346C3">
        <w:rPr>
          <w:bCs/>
        </w:rPr>
        <w:t xml:space="preserve">: </w:t>
      </w:r>
      <w:r w:rsidR="00D93600" w:rsidRPr="00034C75">
        <w:rPr>
          <w:bCs/>
          <w:sz w:val="22"/>
          <w:szCs w:val="22"/>
        </w:rPr>
        <w:t xml:space="preserve">Российская Федерация, Белгородская область, Губкинский городской округ, </w:t>
      </w:r>
      <w:r w:rsidR="00CF1987">
        <w:rPr>
          <w:bCs/>
          <w:sz w:val="22"/>
          <w:szCs w:val="22"/>
        </w:rPr>
        <w:t xml:space="preserve">                    </w:t>
      </w:r>
      <w:r w:rsidR="00D93600" w:rsidRPr="00034C75">
        <w:rPr>
          <w:bCs/>
          <w:sz w:val="22"/>
          <w:szCs w:val="22"/>
        </w:rPr>
        <w:t xml:space="preserve">г. Губкин, </w:t>
      </w:r>
      <w:r w:rsidR="00B40DBC">
        <w:rPr>
          <w:bCs/>
          <w:sz w:val="22"/>
          <w:szCs w:val="22"/>
        </w:rPr>
        <w:t>мкр. Южный</w:t>
      </w:r>
      <w:r w:rsidRPr="00034C75">
        <w:rPr>
          <w:sz w:val="22"/>
          <w:szCs w:val="22"/>
        </w:rPr>
        <w:t>, с видом разрешенного использования «</w:t>
      </w:r>
      <w:r w:rsidR="00B40DBC" w:rsidRPr="00B40DBC">
        <w:rPr>
          <w:sz w:val="22"/>
          <w:szCs w:val="22"/>
        </w:rPr>
        <w:t>малоэтажная многоквартирная жилая застройка, среднеэтажная жилая застройка»</w:t>
      </w:r>
      <w:r w:rsidRPr="00034C75">
        <w:rPr>
          <w:sz w:val="22"/>
          <w:szCs w:val="22"/>
        </w:rPr>
        <w:t>»,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Кадастровый номер: 31:</w:t>
      </w:r>
      <w:r>
        <w:rPr>
          <w:sz w:val="22"/>
          <w:szCs w:val="22"/>
        </w:rPr>
        <w:t>0</w:t>
      </w:r>
      <w:r w:rsidR="00B40DBC">
        <w:rPr>
          <w:sz w:val="22"/>
          <w:szCs w:val="22"/>
        </w:rPr>
        <w:t>3</w:t>
      </w:r>
      <w:r>
        <w:rPr>
          <w:sz w:val="22"/>
          <w:szCs w:val="22"/>
        </w:rPr>
        <w:t>:</w:t>
      </w:r>
      <w:r w:rsidR="00B40DBC">
        <w:rPr>
          <w:sz w:val="22"/>
          <w:szCs w:val="22"/>
        </w:rPr>
        <w:t>0901001</w:t>
      </w:r>
      <w:r>
        <w:rPr>
          <w:sz w:val="22"/>
          <w:szCs w:val="22"/>
        </w:rPr>
        <w:t>:</w:t>
      </w:r>
      <w:r w:rsidR="00B40DBC">
        <w:rPr>
          <w:sz w:val="22"/>
          <w:szCs w:val="22"/>
        </w:rPr>
        <w:t>3878</w:t>
      </w:r>
      <w:r w:rsidRPr="00A346C3">
        <w:rPr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B40DBC">
        <w:rPr>
          <w:sz w:val="22"/>
          <w:szCs w:val="22"/>
        </w:rPr>
        <w:t>5991</w:t>
      </w:r>
      <w:r w:rsidRPr="00A346C3">
        <w:rPr>
          <w:sz w:val="22"/>
          <w:szCs w:val="22"/>
        </w:rPr>
        <w:t xml:space="preserve"> кв.м;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lastRenderedPageBreak/>
        <w:t xml:space="preserve">Разрешенное использование: </w:t>
      </w:r>
      <w:r w:rsidR="00B40DBC" w:rsidRPr="00B40DBC">
        <w:rPr>
          <w:sz w:val="22"/>
          <w:szCs w:val="22"/>
        </w:rPr>
        <w:t>«</w:t>
      </w:r>
      <w:r w:rsidR="00BA224F" w:rsidRPr="00B40DBC">
        <w:rPr>
          <w:sz w:val="22"/>
          <w:szCs w:val="22"/>
        </w:rPr>
        <w:t xml:space="preserve">малоэтажная многоквартирная жилая застройка, </w:t>
      </w:r>
      <w:r w:rsidR="00B40DBC" w:rsidRPr="00B40DBC">
        <w:rPr>
          <w:sz w:val="22"/>
          <w:szCs w:val="22"/>
        </w:rPr>
        <w:t>среднеэтажная жилая застройка»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 w:rsidR="00B17725">
        <w:rPr>
          <w:color w:val="000000"/>
          <w:sz w:val="22"/>
          <w:szCs w:val="22"/>
        </w:rPr>
        <w:t>.</w:t>
      </w:r>
    </w:p>
    <w:p w:rsidR="00710EE8" w:rsidRPr="00A346C3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 w:rsidR="00D93600">
        <w:rPr>
          <w:color w:val="000000"/>
          <w:sz w:val="22"/>
          <w:szCs w:val="22"/>
        </w:rPr>
        <w:t>отсутствуют</w:t>
      </w:r>
      <w:r w:rsidRPr="00A346C3">
        <w:rPr>
          <w:color w:val="000000"/>
          <w:sz w:val="22"/>
          <w:szCs w:val="22"/>
        </w:rPr>
        <w:t>.</w:t>
      </w:r>
    </w:p>
    <w:p w:rsidR="00710EE8" w:rsidRDefault="00710EE8" w:rsidP="003307DF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B40DBC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Pr="00A346C3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9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  <w:r w:rsidRPr="00A346C3">
          <w:rPr>
            <w:rStyle w:val="a3"/>
            <w:bCs/>
            <w:sz w:val="22"/>
            <w:szCs w:val="22"/>
          </w:rPr>
          <w:t>/</w:t>
        </w:r>
      </w:hyperlink>
      <w:r w:rsidRPr="00A346C3">
        <w:rPr>
          <w:bCs/>
          <w:sz w:val="22"/>
          <w:szCs w:val="22"/>
        </w:rPr>
        <w:t>.</w:t>
      </w:r>
    </w:p>
    <w:p w:rsidR="00710EE8" w:rsidRPr="00A346C3" w:rsidRDefault="00710EE8" w:rsidP="00F804F3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A346C3">
        <w:rPr>
          <w:bCs/>
          <w:sz w:val="22"/>
          <w:szCs w:val="22"/>
        </w:rPr>
        <w:t xml:space="preserve"> </w:t>
      </w:r>
    </w:p>
    <w:p w:rsidR="00710EE8" w:rsidRPr="00A346C3" w:rsidRDefault="00710EE8" w:rsidP="00F804F3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Технические условия подключения к сетям </w:t>
      </w:r>
      <w:r w:rsidR="00E10571">
        <w:rPr>
          <w:bCs/>
          <w:sz w:val="22"/>
          <w:szCs w:val="22"/>
        </w:rPr>
        <w:t>21.05.2024</w:t>
      </w:r>
      <w:r w:rsidRPr="00A346C3">
        <w:rPr>
          <w:bCs/>
          <w:sz w:val="22"/>
          <w:szCs w:val="22"/>
        </w:rPr>
        <w:t xml:space="preserve"> г. исх. №</w:t>
      </w:r>
      <w:r>
        <w:rPr>
          <w:bCs/>
          <w:sz w:val="22"/>
          <w:szCs w:val="22"/>
        </w:rPr>
        <w:t xml:space="preserve"> </w:t>
      </w:r>
      <w:r w:rsidR="00E10571">
        <w:rPr>
          <w:bCs/>
          <w:sz w:val="22"/>
          <w:szCs w:val="22"/>
        </w:rPr>
        <w:t>СО-РХ</w:t>
      </w:r>
      <w:r w:rsidRPr="00A346C3">
        <w:rPr>
          <w:bCs/>
          <w:sz w:val="22"/>
          <w:szCs w:val="22"/>
        </w:rPr>
        <w:t>-03/</w:t>
      </w:r>
      <w:r w:rsidR="00E10571">
        <w:rPr>
          <w:bCs/>
          <w:sz w:val="22"/>
          <w:szCs w:val="22"/>
        </w:rPr>
        <w:t>1705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710EE8" w:rsidRDefault="00710EE8" w:rsidP="00E10571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                            </w:t>
      </w:r>
      <w:r w:rsidR="009D5C4C">
        <w:rPr>
          <w:rFonts w:ascii="Times New Roman" w:hAnsi="Times New Roman" w:cs="Times New Roman"/>
          <w:bCs/>
        </w:rPr>
        <w:t>филиалом «Губкинский» ГУП «Белоблводоканал»</w:t>
      </w:r>
      <w:r w:rsidRPr="00F26016">
        <w:rPr>
          <w:rFonts w:ascii="Times New Roman" w:hAnsi="Times New Roman" w:cs="Times New Roman"/>
          <w:bCs/>
        </w:rPr>
        <w:t xml:space="preserve"> от </w:t>
      </w:r>
      <w:r w:rsidR="00E10571">
        <w:rPr>
          <w:rFonts w:ascii="Times New Roman" w:hAnsi="Times New Roman" w:cs="Times New Roman"/>
          <w:bCs/>
        </w:rPr>
        <w:t>21.05</w:t>
      </w:r>
      <w:r w:rsidRPr="009D5C4C">
        <w:rPr>
          <w:rFonts w:ascii="Times New Roman" w:hAnsi="Times New Roman" w:cs="Times New Roman"/>
          <w:bCs/>
        </w:rPr>
        <w:t xml:space="preserve">.2023 г. исх. № </w:t>
      </w:r>
      <w:r w:rsidR="009D5C4C">
        <w:rPr>
          <w:rFonts w:ascii="Times New Roman" w:hAnsi="Times New Roman" w:cs="Times New Roman"/>
          <w:bCs/>
        </w:rPr>
        <w:t>ФГ-И-</w:t>
      </w:r>
      <w:r w:rsidR="00E10571">
        <w:rPr>
          <w:rFonts w:ascii="Times New Roman" w:hAnsi="Times New Roman" w:cs="Times New Roman"/>
          <w:bCs/>
        </w:rPr>
        <w:t>585</w:t>
      </w:r>
      <w:r w:rsidRPr="00F26016">
        <w:rPr>
          <w:rFonts w:ascii="Times New Roman" w:hAnsi="Times New Roman" w:cs="Times New Roman"/>
          <w:bCs/>
        </w:rPr>
        <w:t xml:space="preserve"> </w:t>
      </w:r>
      <w:r w:rsidRPr="00A346C3">
        <w:rPr>
          <w:rFonts w:ascii="Times New Roman" w:hAnsi="Times New Roman" w:cs="Times New Roman"/>
          <w:bCs/>
        </w:rPr>
        <w:t>(письмо приложено к аукционной документации)</w:t>
      </w:r>
      <w:r w:rsidR="00E10571">
        <w:rPr>
          <w:rFonts w:ascii="Times New Roman" w:hAnsi="Times New Roman" w:cs="Times New Roman"/>
          <w:bCs/>
        </w:rPr>
        <w:t>;</w:t>
      </w:r>
    </w:p>
    <w:p w:rsidR="00E10571" w:rsidRPr="00E10571" w:rsidRDefault="00E10571" w:rsidP="00E10571">
      <w:pPr>
        <w:numPr>
          <w:ilvl w:val="0"/>
          <w:numId w:val="16"/>
        </w:numPr>
        <w:rPr>
          <w:bCs/>
          <w:sz w:val="22"/>
          <w:szCs w:val="22"/>
        </w:rPr>
      </w:pPr>
      <w:r w:rsidRPr="00E10571">
        <w:rPr>
          <w:bCs/>
          <w:sz w:val="22"/>
          <w:szCs w:val="22"/>
        </w:rPr>
        <w:t xml:space="preserve">Технические условия подключения к сетям связи выданы ПАО «Ростелеком» от </w:t>
      </w:r>
      <w:r>
        <w:rPr>
          <w:bCs/>
          <w:sz w:val="22"/>
          <w:szCs w:val="22"/>
        </w:rPr>
        <w:t>21.05</w:t>
      </w:r>
      <w:r w:rsidRPr="00E10571">
        <w:rPr>
          <w:bCs/>
          <w:sz w:val="22"/>
          <w:szCs w:val="22"/>
        </w:rPr>
        <w:t xml:space="preserve">.2024 г. </w:t>
      </w:r>
      <w:r w:rsidR="0035578A">
        <w:rPr>
          <w:bCs/>
          <w:sz w:val="22"/>
          <w:szCs w:val="22"/>
        </w:rPr>
        <w:t xml:space="preserve">                        рег.</w:t>
      </w:r>
      <w:r w:rsidRPr="00E10571">
        <w:rPr>
          <w:bCs/>
          <w:sz w:val="22"/>
          <w:szCs w:val="22"/>
        </w:rPr>
        <w:t xml:space="preserve">  № 01/05/</w:t>
      </w:r>
      <w:r w:rsidR="0035578A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>1103</w:t>
      </w:r>
      <w:r w:rsidRPr="00E10571">
        <w:rPr>
          <w:bCs/>
          <w:sz w:val="22"/>
          <w:szCs w:val="22"/>
        </w:rPr>
        <w:t>/2 (письмо приложено к аукционной документации)</w:t>
      </w:r>
      <w:r>
        <w:rPr>
          <w:bCs/>
          <w:sz w:val="22"/>
          <w:szCs w:val="22"/>
        </w:rPr>
        <w:t>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>можно ознакомиться в управлении архитектуры и градостроительной политики администрации Губкинского городского округа (г. Губкин, ул. Победы, 3, каб. 210).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C453E3" w:rsidRDefault="00710EE8" w:rsidP="00C453E3">
      <w:pPr>
        <w:ind w:firstLine="426"/>
        <w:jc w:val="both"/>
        <w:rPr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2.4 </w:t>
      </w:r>
      <w:r w:rsidRPr="00A346C3">
        <w:rPr>
          <w:b/>
          <w:sz w:val="22"/>
          <w:szCs w:val="22"/>
        </w:rPr>
        <w:t>Допустимые параметры разрешенного строительства</w:t>
      </w:r>
      <w:r w:rsidRPr="00A346C3">
        <w:rPr>
          <w:b/>
          <w:bCs/>
          <w:sz w:val="22"/>
          <w:szCs w:val="22"/>
        </w:rPr>
        <w:t xml:space="preserve"> </w:t>
      </w:r>
      <w:r w:rsidRPr="00C453E3">
        <w:rPr>
          <w:bCs/>
          <w:sz w:val="22"/>
          <w:szCs w:val="22"/>
        </w:rPr>
        <w:t>выданы управлением архитектуры и градостроительной политик</w:t>
      </w:r>
      <w:r w:rsidR="00D93600">
        <w:rPr>
          <w:bCs/>
          <w:sz w:val="22"/>
          <w:szCs w:val="22"/>
        </w:rPr>
        <w:t>и</w:t>
      </w:r>
      <w:r w:rsidR="00D93600" w:rsidRPr="00D93600">
        <w:t xml:space="preserve"> </w:t>
      </w:r>
      <w:r w:rsidR="00D93600" w:rsidRPr="00D93600">
        <w:rPr>
          <w:bCs/>
          <w:sz w:val="22"/>
          <w:szCs w:val="22"/>
        </w:rPr>
        <w:t>администрации Губкинского городского округа</w:t>
      </w:r>
      <w:r w:rsidRPr="00C453E3">
        <w:rPr>
          <w:bCs/>
          <w:sz w:val="22"/>
          <w:szCs w:val="22"/>
        </w:rPr>
        <w:t xml:space="preserve">, письмо от </w:t>
      </w:r>
      <w:r w:rsidR="00E10571">
        <w:rPr>
          <w:bCs/>
          <w:sz w:val="22"/>
          <w:szCs w:val="22"/>
        </w:rPr>
        <w:t>16.05.2024</w:t>
      </w:r>
      <w:r w:rsidRPr="00C453E3">
        <w:rPr>
          <w:bCs/>
          <w:sz w:val="22"/>
          <w:szCs w:val="22"/>
        </w:rPr>
        <w:t xml:space="preserve"> г.</w:t>
      </w:r>
      <w:r w:rsidR="00D93600">
        <w:rPr>
          <w:bCs/>
          <w:sz w:val="22"/>
          <w:szCs w:val="22"/>
        </w:rPr>
        <w:t xml:space="preserve">                </w:t>
      </w:r>
      <w:r w:rsidRPr="00C453E3">
        <w:rPr>
          <w:bCs/>
          <w:sz w:val="22"/>
          <w:szCs w:val="22"/>
        </w:rPr>
        <w:t>№ 43-2-5/6</w:t>
      </w:r>
      <w:r w:rsidR="00D93600">
        <w:rPr>
          <w:bCs/>
          <w:sz w:val="22"/>
          <w:szCs w:val="22"/>
        </w:rPr>
        <w:t>9</w:t>
      </w:r>
      <w:r w:rsidRPr="00C453E3">
        <w:rPr>
          <w:bCs/>
          <w:sz w:val="22"/>
          <w:szCs w:val="22"/>
        </w:rPr>
        <w:t>-</w:t>
      </w:r>
      <w:r w:rsidR="00E10571">
        <w:rPr>
          <w:bCs/>
          <w:sz w:val="22"/>
          <w:szCs w:val="22"/>
        </w:rPr>
        <w:t>505</w:t>
      </w:r>
      <w:r w:rsidRPr="00C453E3">
        <w:rPr>
          <w:bCs/>
          <w:sz w:val="22"/>
          <w:szCs w:val="22"/>
        </w:rPr>
        <w:t xml:space="preserve"> (письмо приложено к аукционной документации).</w:t>
      </w:r>
    </w:p>
    <w:p w:rsidR="00710EE8" w:rsidRPr="00A346C3" w:rsidRDefault="00710EE8" w:rsidP="004E0B7A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9109AC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C453E3">
      <w:pPr>
        <w:ind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2.5.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>– размер ежегодной арендной платы за земельный у</w:t>
      </w:r>
      <w:r>
        <w:rPr>
          <w:color w:val="000000"/>
          <w:sz w:val="22"/>
          <w:szCs w:val="22"/>
        </w:rPr>
        <w:t xml:space="preserve">часток:                        </w:t>
      </w:r>
      <w:r w:rsidR="00E10571" w:rsidRPr="00E10571">
        <w:rPr>
          <w:b/>
          <w:color w:val="000000"/>
          <w:sz w:val="22"/>
          <w:szCs w:val="22"/>
        </w:rPr>
        <w:t>1</w:t>
      </w:r>
      <w:r w:rsidR="00B17725">
        <w:rPr>
          <w:b/>
          <w:color w:val="000000"/>
          <w:sz w:val="22"/>
          <w:szCs w:val="22"/>
        </w:rPr>
        <w:t xml:space="preserve"> </w:t>
      </w:r>
      <w:r w:rsidR="00E10571" w:rsidRPr="00E10571">
        <w:rPr>
          <w:b/>
          <w:color w:val="000000"/>
          <w:sz w:val="22"/>
          <w:szCs w:val="22"/>
        </w:rPr>
        <w:t>264</w:t>
      </w:r>
      <w:r w:rsidR="00B17725">
        <w:rPr>
          <w:b/>
          <w:color w:val="000000"/>
          <w:sz w:val="22"/>
          <w:szCs w:val="22"/>
        </w:rPr>
        <w:t xml:space="preserve"> </w:t>
      </w:r>
      <w:r w:rsidR="00E10571" w:rsidRPr="00E10571">
        <w:rPr>
          <w:b/>
          <w:color w:val="000000"/>
          <w:sz w:val="22"/>
          <w:szCs w:val="22"/>
        </w:rPr>
        <w:t>101 (один миллион двести шестьдесят четыре тысячи сто один) рубль 00 копеек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НДС не облагается.</w:t>
      </w:r>
    </w:p>
    <w:p w:rsidR="00710EE8" w:rsidRPr="00A346C3" w:rsidRDefault="00710EE8" w:rsidP="00C453E3">
      <w:pPr>
        <w:jc w:val="both"/>
        <w:rPr>
          <w:b/>
          <w:color w:val="000000"/>
          <w:sz w:val="10"/>
          <w:szCs w:val="10"/>
        </w:rPr>
      </w:pPr>
    </w:p>
    <w:p w:rsidR="00710EE8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 w:rsidR="00E10571">
        <w:rPr>
          <w:b/>
          <w:bCs/>
          <w:color w:val="000000"/>
          <w:sz w:val="22"/>
          <w:szCs w:val="22"/>
        </w:rPr>
        <w:t>37</w:t>
      </w:r>
      <w:r w:rsidR="00B17725">
        <w:rPr>
          <w:b/>
          <w:bCs/>
          <w:color w:val="000000"/>
          <w:sz w:val="22"/>
          <w:szCs w:val="22"/>
        </w:rPr>
        <w:t xml:space="preserve"> </w:t>
      </w:r>
      <w:r w:rsidR="00E10571">
        <w:rPr>
          <w:b/>
          <w:bCs/>
          <w:color w:val="000000"/>
          <w:sz w:val="22"/>
          <w:szCs w:val="22"/>
        </w:rPr>
        <w:t>923,03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 w:rsidR="00E10571">
        <w:rPr>
          <w:b/>
          <w:bCs/>
          <w:color w:val="000000"/>
          <w:sz w:val="22"/>
          <w:szCs w:val="22"/>
        </w:rPr>
        <w:t>тридцать семь тысяч девятьсот двадцать три рубля 03 копейки</w:t>
      </w:r>
      <w:r w:rsidRPr="00A346C3">
        <w:rPr>
          <w:b/>
          <w:bCs/>
          <w:color w:val="000000"/>
          <w:sz w:val="22"/>
          <w:szCs w:val="22"/>
        </w:rPr>
        <w:t>).</w:t>
      </w:r>
    </w:p>
    <w:p w:rsidR="00710EE8" w:rsidRPr="00A346C3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 w:rsidR="00275372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аукциона):                         </w:t>
      </w:r>
      <w:r w:rsidR="00E10571">
        <w:rPr>
          <w:b/>
          <w:color w:val="000000"/>
          <w:sz w:val="22"/>
          <w:szCs w:val="22"/>
        </w:rPr>
        <w:t>1</w:t>
      </w:r>
      <w:r w:rsidR="00B17725">
        <w:rPr>
          <w:b/>
          <w:color w:val="000000"/>
          <w:sz w:val="22"/>
          <w:szCs w:val="22"/>
        </w:rPr>
        <w:t xml:space="preserve"> </w:t>
      </w:r>
      <w:bookmarkStart w:id="11" w:name="_GoBack"/>
      <w:bookmarkEnd w:id="11"/>
      <w:r w:rsidR="00E10571">
        <w:rPr>
          <w:b/>
          <w:color w:val="000000"/>
          <w:sz w:val="22"/>
          <w:szCs w:val="22"/>
        </w:rPr>
        <w:t>011</w:t>
      </w:r>
      <w:r w:rsidR="00B17725">
        <w:rPr>
          <w:b/>
          <w:color w:val="000000"/>
          <w:sz w:val="22"/>
          <w:szCs w:val="22"/>
        </w:rPr>
        <w:t xml:space="preserve"> </w:t>
      </w:r>
      <w:r w:rsidR="00E10571">
        <w:rPr>
          <w:b/>
          <w:color w:val="000000"/>
          <w:sz w:val="22"/>
          <w:szCs w:val="22"/>
        </w:rPr>
        <w:t>280,80</w:t>
      </w:r>
      <w:r w:rsidRPr="00825B2B">
        <w:rPr>
          <w:b/>
          <w:color w:val="000000"/>
          <w:sz w:val="22"/>
          <w:szCs w:val="22"/>
        </w:rPr>
        <w:t xml:space="preserve"> руб. (</w:t>
      </w:r>
      <w:r w:rsidR="00E10571">
        <w:rPr>
          <w:b/>
          <w:color w:val="000000"/>
          <w:sz w:val="22"/>
          <w:szCs w:val="22"/>
        </w:rPr>
        <w:t>один миллион одиннадцать тысяч двести восемьдесят рублей 80</w:t>
      </w:r>
      <w:r>
        <w:rPr>
          <w:b/>
          <w:color w:val="000000"/>
          <w:sz w:val="22"/>
          <w:szCs w:val="22"/>
        </w:rPr>
        <w:t xml:space="preserve"> копеек</w:t>
      </w:r>
      <w:r w:rsidRPr="00825B2B">
        <w:rPr>
          <w:b/>
          <w:color w:val="000000"/>
          <w:sz w:val="22"/>
          <w:szCs w:val="22"/>
        </w:rPr>
        <w:t>)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2.6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275372">
        <w:rPr>
          <w:bCs/>
          <w:color w:val="000000"/>
          <w:sz w:val="22"/>
          <w:szCs w:val="22"/>
        </w:rPr>
        <w:t>3</w:t>
      </w:r>
      <w:r w:rsidRPr="00C453E3">
        <w:rPr>
          <w:bCs/>
          <w:color w:val="000000"/>
          <w:sz w:val="22"/>
          <w:szCs w:val="22"/>
        </w:rPr>
        <w:t xml:space="preserve"> (</w:t>
      </w:r>
      <w:r w:rsidR="00275372"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 w:rsidR="00275372">
        <w:rPr>
          <w:bCs/>
          <w:color w:val="000000"/>
          <w:sz w:val="22"/>
          <w:szCs w:val="22"/>
        </w:rPr>
        <w:t>года</w:t>
      </w:r>
      <w:r w:rsidRPr="00A346C3">
        <w:rPr>
          <w:b/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2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2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7" w:name="OLE_LINK9"/>
      <w:bookmarkStart w:id="18" w:name="OLE_LINK7"/>
      <w:bookmarkStart w:id="19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7"/>
    <w:bookmarkEnd w:id="18"/>
    <w:bookmarkEnd w:id="19"/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 xml:space="preserve">.2.Дата и время начала приема Заявок: </w:t>
      </w:r>
      <w:r w:rsidR="00E10571">
        <w:rPr>
          <w:b/>
          <w:color w:val="000000"/>
          <w:sz w:val="22"/>
          <w:szCs w:val="22"/>
        </w:rPr>
        <w:t>29.05.2024</w:t>
      </w:r>
      <w:r w:rsidRPr="00A346C3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710EE8" w:rsidRPr="00A346C3" w:rsidRDefault="00710EE8" w:rsidP="00FA799C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710EE8" w:rsidRPr="00CF1987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 xml:space="preserve">3.3Дата и время окончания срока приема Заявок и начала их рассмотрения: </w:t>
      </w:r>
      <w:r w:rsidR="001B3758">
        <w:rPr>
          <w:b/>
          <w:color w:val="000000"/>
          <w:sz w:val="22"/>
          <w:szCs w:val="22"/>
        </w:rPr>
        <w:t>27.06.2024</w:t>
      </w:r>
      <w:r w:rsidRPr="008E387D">
        <w:rPr>
          <w:b/>
          <w:color w:val="000000"/>
          <w:sz w:val="22"/>
          <w:szCs w:val="22"/>
        </w:rPr>
        <w:t xml:space="preserve"> г. в                           </w:t>
      </w:r>
      <w:r w:rsidRPr="00CF1987">
        <w:rPr>
          <w:b/>
          <w:color w:val="000000" w:themeColor="text1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sz w:val="16"/>
          <w:szCs w:val="16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окончания рассмотрения Заявок: </w:t>
      </w:r>
      <w:r w:rsidR="001B3758">
        <w:rPr>
          <w:b/>
          <w:bCs/>
          <w:sz w:val="22"/>
          <w:szCs w:val="22"/>
        </w:rPr>
        <w:t>28.06</w:t>
      </w:r>
      <w:r w:rsidRPr="00A346C3">
        <w:rPr>
          <w:b/>
          <w:bCs/>
          <w:sz w:val="22"/>
          <w:szCs w:val="22"/>
        </w:rPr>
        <w:t>.202</w:t>
      </w:r>
      <w:r w:rsidR="001B3758">
        <w:rPr>
          <w:b/>
          <w:bCs/>
          <w:sz w:val="22"/>
          <w:szCs w:val="22"/>
        </w:rPr>
        <w:t>4</w:t>
      </w:r>
      <w:r w:rsidRPr="00A346C3">
        <w:rPr>
          <w:b/>
          <w:bCs/>
          <w:sz w:val="22"/>
          <w:szCs w:val="22"/>
        </w:rPr>
        <w:t xml:space="preserve"> г.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1B3758" w:rsidRPr="001B3758">
        <w:rPr>
          <w:b/>
          <w:bCs/>
          <w:sz w:val="22"/>
          <w:szCs w:val="22"/>
        </w:rPr>
        <w:t>01.07.2024</w:t>
      </w:r>
      <w:r w:rsidRPr="001B3758">
        <w:rPr>
          <w:bCs/>
          <w:sz w:val="22"/>
          <w:szCs w:val="22"/>
        </w:rPr>
        <w:t xml:space="preserve"> г</w:t>
      </w:r>
      <w:r w:rsidRPr="00A346C3">
        <w:rPr>
          <w:b/>
          <w:bCs/>
          <w:sz w:val="22"/>
          <w:szCs w:val="22"/>
        </w:rPr>
        <w:t>. в 1</w:t>
      </w:r>
      <w:r w:rsidR="0035578A"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 xml:space="preserve"> час.00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A346C3" w:rsidRDefault="00710EE8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A346C3">
        <w:rPr>
          <w:sz w:val="22"/>
          <w:szCs w:val="22"/>
          <w:u w:val="single"/>
          <w:lang w:eastAsia="ru-RU"/>
        </w:rPr>
        <w:t>www.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="00A568F4">
        <w:rPr>
          <w:lang w:eastAsia="ru-RU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и юридические 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непоступление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</w:t>
      </w:r>
      <w:r w:rsidRPr="00A346C3">
        <w:rPr>
          <w:sz w:val="22"/>
          <w:szCs w:val="22"/>
        </w:rPr>
        <w:lastRenderedPageBreak/>
        <w:t xml:space="preserve">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710EE8" w:rsidRPr="00A346C3" w:rsidRDefault="00710EE8" w:rsidP="00C870E0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внесения, блокирования и прекращения </w:t>
      </w:r>
    </w:p>
    <w:p w:rsidR="00710EE8" w:rsidRPr="00A346C3" w:rsidRDefault="00710EE8" w:rsidP="00C870E0">
      <w:pPr>
        <w:pStyle w:val="aff0"/>
        <w:suppressAutoHyphens w:val="0"/>
        <w:autoSpaceDE w:val="0"/>
        <w:autoSpaceDN w:val="0"/>
        <w:adjustRightInd w:val="0"/>
        <w:ind w:left="786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блокирования Гарантийного обеспечение оплаты оказания услуг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9.1.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Для подачи заявки на участие в аукционе в соответствии с </w:t>
      </w:r>
      <w:r w:rsidRPr="00034C75">
        <w:rPr>
          <w:color w:val="000000" w:themeColor="text1"/>
          <w:sz w:val="22"/>
          <w:szCs w:val="22"/>
          <w:lang w:eastAsia="ru-RU"/>
        </w:rPr>
        <w:t>Регламентом и Инструкциями</w:t>
      </w:r>
      <w:r w:rsidRPr="00B4560F">
        <w:rPr>
          <w:color w:val="FF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установлено требование о внесении Гарантийного обеспечения оплаты оказания услуг.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9.2. </w:t>
      </w:r>
      <w:r w:rsidRPr="00A346C3">
        <w:rPr>
          <w:color w:val="000000"/>
          <w:sz w:val="22"/>
          <w:szCs w:val="22"/>
          <w:lang w:eastAsia="ru-RU"/>
        </w:rPr>
        <w:t xml:space="preserve">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r w:rsidRPr="00A346C3">
        <w:rPr>
          <w:color w:val="0000FF"/>
          <w:sz w:val="22"/>
          <w:szCs w:val="22"/>
          <w:lang w:eastAsia="ru-RU"/>
        </w:rPr>
        <w:t xml:space="preserve">https://www.rts-tender.ru/tariffs/platform-property-sales-tariffs 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Получатель платежа: </w:t>
      </w:r>
      <w:r w:rsidRPr="00A346C3">
        <w:rPr>
          <w:color w:val="000000"/>
          <w:sz w:val="22"/>
          <w:szCs w:val="22"/>
          <w:lang w:eastAsia="ru-RU"/>
        </w:rPr>
        <w:t>Общество с ограниченной ответственностью «РТС-тендер»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Банковские реквизиты: </w:t>
      </w:r>
      <w:r w:rsidRPr="00A346C3">
        <w:rPr>
          <w:color w:val="000000"/>
          <w:sz w:val="22"/>
          <w:szCs w:val="22"/>
          <w:lang w:eastAsia="ru-RU"/>
        </w:rPr>
        <w:t>Филиал «Корпоративный» ПАО «Совкомбанк»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БИК 044525360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Расчётный счёт: 40702810512030016362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Корр. счёт 30101810445250000360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ИНН 7710357167 КПП 773001001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Назначение платежа: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«Внесение гарантийного обеспечения по Соглашению о внесении гарантийного обеспечения,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№ аналитического счета _________, без НДС».».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9.3. </w:t>
      </w:r>
      <w:r w:rsidRPr="00150326">
        <w:rPr>
          <w:sz w:val="22"/>
          <w:szCs w:val="22"/>
          <w:lang w:eastAsia="ru-RU"/>
        </w:rPr>
        <w:t>Прекращение блокирования Гарантийного обеспечения оплаты оказания услуг в соответствии с Регламентом и Инструкциями производится Оператором электронной площадки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отозвавшего Заявку до окончания срока приема Заявок, установленного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 xml:space="preserve">пунктом </w:t>
      </w:r>
      <w:r>
        <w:rPr>
          <w:sz w:val="22"/>
          <w:szCs w:val="22"/>
          <w:lang w:eastAsia="ru-RU"/>
        </w:rPr>
        <w:t>3.3</w:t>
      </w:r>
      <w:r w:rsidRPr="00150326">
        <w:rPr>
          <w:sz w:val="22"/>
          <w:szCs w:val="22"/>
          <w:lang w:eastAsia="ru-RU"/>
        </w:rPr>
        <w:t xml:space="preserve"> Извещения, – в течение 3 (трех) рабочих дней со дня поступления уведомления об отзыве Заявки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не допущенного к участию в аукционе, – в течение 3 (трех) рабочих дней со дня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оформления Протокола рассмотрения заявок на участие в аукционе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Участников,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аукциона – в течение 3 (трех) рабочих дней со дня публикации на электронной площадке сведений о заключении договора с победителем аукциона в соответствии с Регламентом и Инструкциями.</w:t>
      </w:r>
    </w:p>
    <w:p w:rsidR="00710EE8" w:rsidRPr="00150326" w:rsidRDefault="00710EE8" w:rsidP="00360EBE">
      <w:pPr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150326">
        <w:rPr>
          <w:b/>
          <w:bCs/>
          <w:sz w:val="22"/>
          <w:szCs w:val="22"/>
          <w:lang w:eastAsia="ru-RU"/>
        </w:rPr>
        <w:t xml:space="preserve">9.4. </w:t>
      </w:r>
      <w:r w:rsidRPr="00150326">
        <w:rPr>
          <w:sz w:val="22"/>
          <w:szCs w:val="22"/>
          <w:lang w:eastAsia="ru-RU"/>
        </w:rPr>
        <w:t>Списание средств Гарантийного обеспечения оплаты оказания услуг осуществляется в соответствии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с Регламентом и Инструкциями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Победителя или иного лица с которым в соответствии с пунктами 13 и 14 статьи 39.12 Земельного кодекса Российской Федерации заключается договор аренды Земельного участка – в течение одного рабочего дня со дня опубликования на электронной площадке сведений о заключении с таким лицом договора аренды Земельного участка или акта (протокола) о признании его уклонившимся от заключения договора аренды Земельного участка;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lastRenderedPageBreak/>
        <w:t>- для участника аукциона, который сделал предпоследнее предложение о цене Предмета аукциона – в течение одного рабочего дня с момента заключения договора аренды Земельного участка с таким участником или опубликования на электронной площадке акта (протокола) о признании такого участника уклонившимся от заключения договора аренды Земельного участка.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3" w:name="__RefHeading__61_520497706"/>
      <w:bookmarkStart w:id="34" w:name="__RefHeading__76_1698952488"/>
      <w:bookmarkStart w:id="35" w:name="__RefHeading__63_520497706"/>
      <w:bookmarkStart w:id="36" w:name="__RefHeading__78_1698952488"/>
      <w:bookmarkStart w:id="37" w:name="_Toc419295282"/>
      <w:bookmarkStart w:id="38" w:name="_Toc419895225"/>
      <w:bookmarkEnd w:id="33"/>
      <w:bookmarkEnd w:id="34"/>
      <w:bookmarkEnd w:id="35"/>
      <w:bookmarkEnd w:id="36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r>
        <w:rPr>
          <w:b/>
          <w:color w:val="FF0000"/>
          <w:sz w:val="22"/>
          <w:szCs w:val="22"/>
        </w:rPr>
        <w:t xml:space="preserve">сканкопии и фотообразы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непоступление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</w:t>
      </w:r>
      <w:r>
        <w:rPr>
          <w:sz w:val="22"/>
          <w:szCs w:val="22"/>
          <w:lang w:eastAsia="ru-RU"/>
        </w:rPr>
        <w:lastRenderedPageBreak/>
        <w:t>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Pr="00034C75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>, направляет такому Заявителю в личный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A568F4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.3 Извещения, направляет такому Заявителю в личный кабинет на электронной площадке:  www.rts-tender.ru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площадке:  www.rts-tender.ru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.6 Извещения, обязаны подписать договор аренды Земельного участка в течение 30 (тридцати) дней со дня направления ему в личный кабинет на электронной площадке:  www.rts-tender.ru.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</w:t>
      </w:r>
      <w:r w:rsidRPr="00A346C3">
        <w:rPr>
          <w:color w:val="000000"/>
          <w:sz w:val="22"/>
          <w:szCs w:val="22"/>
          <w:lang w:eastAsia="ru-RU"/>
        </w:rPr>
        <w:lastRenderedPageBreak/>
        <w:t xml:space="preserve">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площадке:  www.rts-tender.ru </w:t>
      </w:r>
      <w:r>
        <w:rPr>
          <w:color w:val="000000"/>
          <w:sz w:val="22"/>
          <w:szCs w:val="22"/>
          <w:lang w:eastAsia="ru-RU"/>
        </w:rPr>
        <w:t>администрацией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39" w:name="__RefHeading__53_520497706"/>
      <w:bookmarkStart w:id="40" w:name="__RefHeading__68_1698952488"/>
      <w:bookmarkEnd w:id="37"/>
      <w:bookmarkEnd w:id="38"/>
      <w:bookmarkEnd w:id="39"/>
      <w:bookmarkEnd w:id="40"/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1" w:name="__RefHeading__65_520497706"/>
      <w:bookmarkStart w:id="42" w:name="__RefHeading__80_1698952488"/>
      <w:bookmarkEnd w:id="41"/>
      <w:bookmarkEnd w:id="42"/>
    </w:p>
    <w:p w:rsidR="00710EE8" w:rsidRPr="00A346C3" w:rsidRDefault="00710EE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10EE8" w:rsidRPr="00A346C3" w:rsidRDefault="00710EE8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3" w:name="__RefHeading__67_520497706"/>
      <w:bookmarkStart w:id="44" w:name="__RefHeading__82_1698952488"/>
      <w:bookmarkEnd w:id="43"/>
      <w:bookmarkEnd w:id="44"/>
    </w:p>
    <w:sectPr w:rsidR="00710EE8" w:rsidRPr="00A346C3" w:rsidSect="00C95E19">
      <w:footerReference w:type="default" r:id="rId12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7725">
      <w:rPr>
        <w:noProof/>
      </w:rPr>
      <w:t>1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1B9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758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78A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17725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0DBC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24F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0571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cadast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B211E-FD4E-48D2-A135-578E627A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8</Pages>
  <Words>4412</Words>
  <Characters>25153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29506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38</cp:revision>
  <cp:lastPrinted>2023-05-23T09:33:00Z</cp:lastPrinted>
  <dcterms:created xsi:type="dcterms:W3CDTF">2023-04-12T12:17:00Z</dcterms:created>
  <dcterms:modified xsi:type="dcterms:W3CDTF">2024-05-28T12:01:00Z</dcterms:modified>
</cp:coreProperties>
</file>