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B3" w:rsidRDefault="0072035D">
      <w:pPr>
        <w:keepNext/>
        <w:spacing w:after="0" w:line="240" w:lineRule="auto"/>
        <w:jc w:val="center"/>
        <w:outlineLvl w:val="0"/>
        <w:rPr>
          <w:rFonts w:ascii="Arial" w:eastAsia="Arial" w:hAnsi="Arial" w:cs="Arial"/>
          <w:b/>
          <w:color w:val="FFFFFF" w:themeColor="background1"/>
          <w:sz w:val="20"/>
        </w:rPr>
      </w:pPr>
      <w:r>
        <w:rPr>
          <w:rFonts w:ascii="Arial" w:eastAsia="Arial" w:hAnsi="Arial" w:cs="Arial"/>
          <w:b/>
          <w:color w:val="FFFFFF" w:themeColor="background1"/>
          <w:sz w:val="20"/>
        </w:rPr>
        <w:t>ГУБКИНСКИЙ ГОРОДСКОЙ ОКРУГ</w:t>
      </w:r>
    </w:p>
    <w:p w:rsidR="004214B3" w:rsidRPr="0072035D" w:rsidRDefault="0072035D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                                                                                         </w:t>
      </w:r>
      <w:bookmarkStart w:id="0" w:name="_GoBack"/>
      <w:bookmarkEnd w:id="0"/>
      <w:r w:rsidRPr="0072035D">
        <w:rPr>
          <w:rFonts w:ascii="Arial" w:eastAsia="Arial" w:hAnsi="Arial" w:cs="Arial"/>
          <w:b/>
          <w:sz w:val="32"/>
        </w:rPr>
        <w:t>ПРОЕКТ</w:t>
      </w:r>
    </w:p>
    <w:p w:rsidR="004214B3" w:rsidRDefault="004214B3">
      <w:pPr>
        <w:keepNext/>
        <w:spacing w:after="0" w:line="240" w:lineRule="auto"/>
        <w:jc w:val="center"/>
        <w:rPr>
          <w:rFonts w:ascii="Arial" w:eastAsia="Arial" w:hAnsi="Arial" w:cs="Arial"/>
          <w:b/>
          <w:bCs/>
          <w:sz w:val="20"/>
        </w:rPr>
      </w:pPr>
    </w:p>
    <w:p w:rsidR="004214B3" w:rsidRDefault="004214B3">
      <w:pPr>
        <w:keepNext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214B3" w:rsidRDefault="0072035D">
      <w:pPr>
        <w:keepNext/>
        <w:spacing w:after="0" w:line="240" w:lineRule="auto"/>
        <w:jc w:val="center"/>
        <w:rPr>
          <w:rFonts w:ascii="Arial" w:eastAsia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>Г</w:t>
      </w:r>
      <w:r>
        <w:rPr>
          <w:rFonts w:ascii="Arial" w:hAnsi="Arial" w:cs="Arial"/>
          <w:b/>
        </w:rPr>
        <w:t>У</w:t>
      </w:r>
      <w:r>
        <w:rPr>
          <w:rFonts w:ascii="Arial" w:hAnsi="Arial" w:cs="Arial"/>
          <w:b/>
          <w:bCs/>
        </w:rPr>
        <w:t>БКИНСКИЙ ГОРОДСКОЙ ОК</w:t>
      </w:r>
      <w:r>
        <w:rPr>
          <w:rFonts w:ascii="Arial" w:hAnsi="Arial" w:cs="Arial"/>
          <w:b/>
        </w:rPr>
        <w:t>РУГ</w:t>
      </w:r>
    </w:p>
    <w:p w:rsidR="004214B3" w:rsidRDefault="0072035D">
      <w:pPr>
        <w:keepNext/>
        <w:spacing w:after="0" w:line="240" w:lineRule="auto"/>
        <w:jc w:val="center"/>
        <w:rPr>
          <w:rFonts w:ascii="Arial" w:eastAsia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>БЕЛГОРОДСКОЙ ОБЛАСТИ</w:t>
      </w:r>
    </w:p>
    <w:p w:rsidR="004214B3" w:rsidRDefault="004214B3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:rsidR="004214B3" w:rsidRDefault="0072035D">
      <w:pPr>
        <w:keepNext/>
        <w:spacing w:after="0" w:line="240" w:lineRule="auto"/>
        <w:jc w:val="center"/>
        <w:outlineLvl w:val="0"/>
        <w:rPr>
          <w:rFonts w:ascii="ArialNarrow" w:eastAsia="ArialNarrow" w:hAnsi="ArialNarrow" w:cs="ArialNarrow"/>
          <w:b/>
          <w:sz w:val="28"/>
          <w:szCs w:val="16"/>
        </w:rPr>
      </w:pPr>
      <w:r>
        <w:rPr>
          <w:rFonts w:ascii="ArialNarrow" w:eastAsia="ArialNarrow" w:hAnsi="ArialNarrow" w:cs="ArialNarrow"/>
          <w:b/>
          <w:sz w:val="32"/>
          <w:szCs w:val="18"/>
        </w:rPr>
        <w:t>АДМИНИСТРАЦИЯ ГУБКИНСКОГО ГОРОДСКОГО ОКРУГА</w:t>
      </w:r>
    </w:p>
    <w:p w:rsidR="004214B3" w:rsidRDefault="004214B3">
      <w:pPr>
        <w:keepNext/>
        <w:spacing w:after="0" w:line="240" w:lineRule="auto"/>
        <w:jc w:val="center"/>
        <w:outlineLvl w:val="0"/>
        <w:rPr>
          <w:rFonts w:ascii="Arial" w:eastAsia="Arial" w:hAnsi="Arial" w:cs="Arial"/>
          <w:b/>
          <w:sz w:val="20"/>
        </w:rPr>
      </w:pPr>
    </w:p>
    <w:p w:rsidR="004214B3" w:rsidRDefault="0072035D">
      <w:pPr>
        <w:keepNext/>
        <w:spacing w:after="0" w:line="240" w:lineRule="auto"/>
        <w:jc w:val="center"/>
        <w:outlineLvl w:val="0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П О С Т А Н О В Л Е Н И Е</w:t>
      </w:r>
    </w:p>
    <w:p w:rsidR="004214B3" w:rsidRDefault="004214B3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:rsidR="004214B3" w:rsidRDefault="0072035D">
      <w:pPr>
        <w:keepNext/>
        <w:spacing w:after="0" w:line="240" w:lineRule="auto"/>
        <w:jc w:val="center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Губкин</w:t>
      </w:r>
    </w:p>
    <w:p w:rsidR="004214B3" w:rsidRDefault="004214B3">
      <w:pPr>
        <w:keepNext/>
        <w:spacing w:after="0" w:line="240" w:lineRule="auto"/>
        <w:jc w:val="center"/>
        <w:rPr>
          <w:rFonts w:ascii="TimesNewRoman" w:eastAsia="TimesNewRoman" w:hAnsi="TimesNewRoman" w:cs="TimesNewRoman"/>
          <w:sz w:val="24"/>
        </w:rPr>
      </w:pPr>
    </w:p>
    <w:p w:rsidR="004214B3" w:rsidRDefault="004214B3">
      <w:pPr>
        <w:keepNext/>
        <w:spacing w:after="0" w:line="240" w:lineRule="auto"/>
        <w:jc w:val="center"/>
        <w:rPr>
          <w:rFonts w:ascii="TimesNewRoman" w:eastAsia="TimesNewRoman" w:hAnsi="TimesNewRoman" w:cs="TimesNewRoman"/>
          <w:sz w:val="24"/>
        </w:rPr>
      </w:pPr>
    </w:p>
    <w:p w:rsidR="004214B3" w:rsidRDefault="0072035D">
      <w:pPr>
        <w:keepNext/>
        <w:spacing w:after="0" w:line="240" w:lineRule="auto"/>
        <w:jc w:val="center"/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b/>
          <w:sz w:val="24"/>
        </w:rPr>
        <w:t xml:space="preserve"> “______” ________________ 2024 г.                                                                          № ________</w:t>
      </w:r>
    </w:p>
    <w:p w:rsidR="004214B3" w:rsidRDefault="004214B3">
      <w:pPr>
        <w:pStyle w:val="ConsPlusNormal"/>
        <w:jc w:val="center"/>
        <w:rPr>
          <w:rFonts w:ascii="TimesNewRoman" w:eastAsia="TimesNewRoman" w:hAnsi="TimesNewRoman" w:cs="TimesNewRoman"/>
          <w:b/>
        </w:rPr>
      </w:pPr>
    </w:p>
    <w:p w:rsidR="004214B3" w:rsidRDefault="004214B3">
      <w:pPr>
        <w:pStyle w:val="ConsPlusNormal"/>
        <w:jc w:val="center"/>
        <w:rPr>
          <w:rFonts w:ascii="TimesNewRoman" w:eastAsia="TimesNewRoman" w:hAnsi="TimesNewRoman" w:cs="TimesNewRoman"/>
          <w:b/>
        </w:rPr>
      </w:pPr>
    </w:p>
    <w:p w:rsidR="004214B3" w:rsidRDefault="004214B3">
      <w:pPr>
        <w:pStyle w:val="ConsPlusNormal"/>
        <w:rPr>
          <w:rFonts w:ascii="TimesNewRoman" w:eastAsia="TimesNewRoman" w:hAnsi="TimesNewRoman" w:cs="TimesNewRoman"/>
          <w:b/>
        </w:rPr>
      </w:pPr>
    </w:p>
    <w:p w:rsidR="004214B3" w:rsidRDefault="004214B3">
      <w:pPr>
        <w:pStyle w:val="ConsPlusNormal"/>
        <w:rPr>
          <w:rFonts w:ascii="TimesNewRoman" w:eastAsia="TimesNewRoman" w:hAnsi="TimesNewRoman" w:cs="TimesNewRoman"/>
          <w:b/>
          <w:sz w:val="28"/>
        </w:rPr>
      </w:pPr>
    </w:p>
    <w:p w:rsidR="004214B3" w:rsidRDefault="0072035D">
      <w:pPr>
        <w:pStyle w:val="ConsPlusNormal"/>
        <w:spacing w:line="283" w:lineRule="exact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 xml:space="preserve">Об определении границ </w:t>
      </w:r>
    </w:p>
    <w:p w:rsidR="004214B3" w:rsidRDefault="0072035D">
      <w:pPr>
        <w:pStyle w:val="ConsPlusNormal"/>
        <w:spacing w:line="283" w:lineRule="exact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>прилегающих территорий, на которых</w:t>
      </w:r>
    </w:p>
    <w:p w:rsidR="004214B3" w:rsidRDefault="0072035D">
      <w:pPr>
        <w:pStyle w:val="ConsPlusNormal"/>
        <w:spacing w:line="283" w:lineRule="exact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 xml:space="preserve">не допускаются розничная продажа </w:t>
      </w:r>
    </w:p>
    <w:p w:rsidR="004214B3" w:rsidRDefault="0072035D">
      <w:pPr>
        <w:pStyle w:val="ConsPlusNormal"/>
        <w:spacing w:line="283" w:lineRule="exact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>алкогольной продукции</w:t>
      </w:r>
    </w:p>
    <w:p w:rsidR="004214B3" w:rsidRDefault="0072035D">
      <w:pPr>
        <w:pStyle w:val="ConsPlusNormal"/>
        <w:spacing w:line="283" w:lineRule="exact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>и розничная продажа</w:t>
      </w:r>
      <w:r>
        <w:rPr>
          <w:rFonts w:ascii="TimesNewRoman" w:eastAsia="TimesNewRoman" w:hAnsi="TimesNewRoman" w:cs="TimesNewRoman"/>
          <w:b/>
          <w:sz w:val="28"/>
        </w:rPr>
        <w:t xml:space="preserve"> алкогольной </w:t>
      </w:r>
    </w:p>
    <w:p w:rsidR="004214B3" w:rsidRDefault="0072035D">
      <w:pPr>
        <w:pStyle w:val="ConsPlusNormal"/>
        <w:spacing w:line="283" w:lineRule="exact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 xml:space="preserve">продукции при оказании услуг </w:t>
      </w:r>
    </w:p>
    <w:p w:rsidR="004214B3" w:rsidRDefault="0072035D">
      <w:pPr>
        <w:pStyle w:val="ConsPlusNormal"/>
        <w:spacing w:line="283" w:lineRule="exact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>общественного питания, на территории</w:t>
      </w:r>
    </w:p>
    <w:p w:rsidR="004214B3" w:rsidRDefault="0072035D">
      <w:pPr>
        <w:pStyle w:val="ConsPlusNormal"/>
        <w:spacing w:line="283" w:lineRule="exact"/>
        <w:rPr>
          <w:rFonts w:ascii="TimesNewRoman" w:eastAsia="TimesNewRoman" w:hAnsi="TimesNewRoman" w:cs="TimesNewRoman"/>
          <w:b/>
          <w:bCs/>
          <w:sz w:val="28"/>
          <w:szCs w:val="28"/>
        </w:rPr>
      </w:pPr>
      <w:r>
        <w:rPr>
          <w:rFonts w:ascii="TimesNewRoman" w:eastAsia="TimesNewRoman" w:hAnsi="TimesNewRoman" w:cs="TimesNewRoman"/>
          <w:b/>
          <w:sz w:val="28"/>
        </w:rPr>
        <w:t xml:space="preserve">Губкинского городского округа </w:t>
      </w:r>
    </w:p>
    <w:p w:rsidR="004214B3" w:rsidRDefault="0072035D">
      <w:pPr>
        <w:pStyle w:val="ConsPlusNormal"/>
        <w:spacing w:line="283" w:lineRule="exact"/>
        <w:rPr>
          <w:rFonts w:ascii="TimesNewRoman" w:eastAsia="TimesNewRoman" w:hAnsi="TimesNewRoman" w:cs="TimesNewRoman"/>
          <w:b/>
          <w:bCs/>
          <w:sz w:val="28"/>
          <w:szCs w:val="28"/>
        </w:rPr>
      </w:pPr>
      <w:r>
        <w:rPr>
          <w:rFonts w:ascii="TimesNewRoman" w:eastAsia="TimesNewRoman" w:hAnsi="TimesNewRoman" w:cs="TimesNewRoman"/>
          <w:b/>
          <w:sz w:val="28"/>
        </w:rPr>
        <w:t>Белгородской области</w:t>
      </w:r>
    </w:p>
    <w:p w:rsidR="004214B3" w:rsidRDefault="004214B3">
      <w:pPr>
        <w:pStyle w:val="ConsPlusNormal"/>
        <w:jc w:val="both"/>
        <w:rPr>
          <w:rFonts w:ascii="TimesNewRoman" w:eastAsia="TimesNewRoman" w:hAnsi="TimesNewRoman" w:cs="TimesNewRoman"/>
        </w:rPr>
      </w:pPr>
    </w:p>
    <w:p w:rsidR="004214B3" w:rsidRDefault="004214B3">
      <w:pPr>
        <w:pStyle w:val="ConsPlusNormal"/>
        <w:jc w:val="both"/>
        <w:rPr>
          <w:rFonts w:ascii="TimesNewRoman" w:eastAsia="TimesNewRoman" w:hAnsi="TimesNewRoman" w:cs="TimesNewRoman"/>
        </w:rPr>
      </w:pPr>
    </w:p>
    <w:p w:rsidR="004214B3" w:rsidRDefault="004214B3">
      <w:pPr>
        <w:pStyle w:val="ConsPlusNormal"/>
        <w:jc w:val="both"/>
        <w:rPr>
          <w:rFonts w:ascii="TimesNewRoman" w:eastAsia="TimesNewRoman" w:hAnsi="TimesNewRoman" w:cs="TimesNewRoman"/>
        </w:rPr>
      </w:pPr>
    </w:p>
    <w:p w:rsidR="004214B3" w:rsidRDefault="004214B3">
      <w:pPr>
        <w:pStyle w:val="ConsPlusNormal"/>
        <w:jc w:val="both"/>
        <w:rPr>
          <w:rFonts w:ascii="TimesNewRoman" w:eastAsia="TimesNewRoman" w:hAnsi="TimesNewRoman" w:cs="TimesNewRoman"/>
        </w:rPr>
      </w:pP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В соответствии с пунктом 8 статьи 16 Федерального закона от 22 ноября 1995 года № </w:t>
      </w:r>
      <w:r>
        <w:rPr>
          <w:rFonts w:ascii="TimesNewRoman" w:eastAsia="TimesNewRoman" w:hAnsi="TimesNewRoman" w:cs="TimesNewRoman"/>
          <w:sz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Федеральным законом от 6 октября 2003 года № 131-ФЗ «Об</w:t>
      </w:r>
      <w:r>
        <w:rPr>
          <w:rFonts w:ascii="TimesNewRoman" w:eastAsia="TimesNewRoman" w:hAnsi="TimesNewRoman" w:cs="TimesNewRoman"/>
          <w:sz w:val="28"/>
        </w:rPr>
        <w:t xml:space="preserve"> общих принципах организации местного самоуправления в Российской Федерации», 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</w:t>
      </w:r>
      <w:r>
        <w:rPr>
          <w:rFonts w:ascii="TimesNewRoman" w:eastAsia="TimesNewRoman" w:hAnsi="TimesNewRoman" w:cs="TimesNewRoman"/>
          <w:sz w:val="28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на основании Устава Губкинского городского округа Белгородской области администрация Губкинского городс</w:t>
      </w:r>
      <w:r>
        <w:rPr>
          <w:rFonts w:ascii="TimesNewRoman" w:eastAsia="TimesNewRoman" w:hAnsi="TimesNewRoman" w:cs="TimesNewRoman"/>
          <w:sz w:val="28"/>
        </w:rPr>
        <w:t xml:space="preserve">кого округа </w:t>
      </w:r>
    </w:p>
    <w:p w:rsidR="004214B3" w:rsidRDefault="004214B3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</w:p>
    <w:p w:rsidR="004214B3" w:rsidRDefault="0072035D">
      <w:pPr>
        <w:pStyle w:val="ConsNormal"/>
        <w:keepNext/>
        <w:ind w:firstLine="0"/>
        <w:jc w:val="both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>ПОСТАНОВЛЯЕТ:</w:t>
      </w:r>
    </w:p>
    <w:p w:rsidR="004214B3" w:rsidRDefault="004214B3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bookmarkStart w:id="1" w:name="Par15"/>
      <w:bookmarkEnd w:id="1"/>
      <w:r>
        <w:rPr>
          <w:rFonts w:ascii="TimesNewRoman" w:eastAsia="TimesNewRoman" w:hAnsi="TimesNewRoman" w:cs="TimesNewRoman"/>
          <w:sz w:val="28"/>
        </w:rPr>
        <w:t>1. Устан</w:t>
      </w:r>
      <w:r>
        <w:rPr>
          <w:rFonts w:ascii="TimesNewRoman" w:eastAsia="TimesNewRoman" w:hAnsi="TimesNewRoman" w:cs="TimesNewRoman"/>
          <w:sz w:val="28"/>
        </w:rPr>
        <w:t>овить на территории Губкинского городского округа границы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на расстоянии 50 метров: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lastRenderedPageBreak/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  <w:szCs w:val="28"/>
        </w:rPr>
      </w:pPr>
      <w:bookmarkStart w:id="2" w:name="Par17"/>
      <w:bookmarkEnd w:id="2"/>
      <w:r>
        <w:rPr>
          <w:rFonts w:ascii="TimesNewRoman" w:eastAsia="TimesNewRoman" w:hAnsi="TimesNewRoman" w:cs="TimesNewRoman"/>
          <w:sz w:val="28"/>
        </w:rPr>
        <w:t>- к зданиям, стро</w:t>
      </w:r>
      <w:r>
        <w:rPr>
          <w:rFonts w:ascii="TimesNewRoman" w:eastAsia="TimesNewRoman" w:hAnsi="TimesNewRoman" w:cs="TimesNewRoman"/>
          <w:sz w:val="28"/>
        </w:rPr>
        <w:t>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- к боевым позициям войск, полигонам, узлам связи, в расположении воинских частей, к специальным технологическим комплексам</w:t>
      </w:r>
      <w:r>
        <w:rPr>
          <w:rFonts w:ascii="TimesNewRoman" w:eastAsia="TimesNewRoman" w:hAnsi="TimesNewRoman" w:cs="TimesNewRoman"/>
          <w:sz w:val="28"/>
        </w:rPr>
        <w:t>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</w:t>
      </w:r>
      <w:r>
        <w:rPr>
          <w:rFonts w:ascii="TimesNewRoman" w:eastAsia="TimesNewRoman" w:hAnsi="TimesNewRoman" w:cs="TimesNewRoman"/>
          <w:sz w:val="28"/>
        </w:rPr>
        <w:t>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- к вокзалам;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- к местам нахождения источников повышенной опасности, определяемых органами государственной власти Б</w:t>
      </w:r>
      <w:r>
        <w:rPr>
          <w:rFonts w:ascii="TimesNewRoman" w:eastAsia="TimesNewRoman" w:hAnsi="TimesNewRoman" w:cs="TimesNewRoman"/>
          <w:sz w:val="28"/>
        </w:rPr>
        <w:t>елгородской области.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bookmarkStart w:id="3" w:name="Par22"/>
      <w:bookmarkEnd w:id="3"/>
      <w:r>
        <w:rPr>
          <w:rFonts w:ascii="TimesNewRoman" w:eastAsia="TimesNewRoman" w:hAnsi="TimesNewRoman" w:cs="TimesNewRoman"/>
          <w:sz w:val="28"/>
        </w:rPr>
        <w:t>2. Установить на территории Губкинского городского округа Белгородской области границы прилегающих территорий, на которых не допускаются розничная продажа алкогольной продукции и розничная продажа алкогольной продукции при оказании усл</w:t>
      </w:r>
      <w:r>
        <w:rPr>
          <w:rFonts w:ascii="TimesNewRoman" w:eastAsia="TimesNewRoman" w:hAnsi="TimesNewRoman" w:cs="TimesNewRoman"/>
          <w:sz w:val="28"/>
        </w:rPr>
        <w:t>уг общественного питания, на расстоянии 10 метров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</w:t>
      </w:r>
      <w:r>
        <w:rPr>
          <w:rFonts w:ascii="TimesNewRoman" w:eastAsia="TimesNewRoman" w:hAnsi="TimesNewRoman" w:cs="TimesNewRoman"/>
          <w:sz w:val="28"/>
        </w:rPr>
        <w:t>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</w:t>
      </w:r>
      <w:r>
        <w:rPr>
          <w:rFonts w:ascii="TimesNewRoman" w:eastAsia="TimesNewRoman" w:hAnsi="TimesNewRoman" w:cs="TimesNewRoman"/>
          <w:sz w:val="28"/>
        </w:rPr>
        <w:t>а исключением видов медицинской деятельности по перечню, утвержденному Правительством Российской Федерации.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3. Установить на территории Губкинского городского округа Белгородской области границы прилегающих территорий, на которых не допускается розничная п</w:t>
      </w:r>
      <w:r>
        <w:rPr>
          <w:rFonts w:ascii="TimesNewRoman" w:eastAsia="TimesNewRoman" w:hAnsi="TimesNewRoman" w:cs="TimesNewRoman"/>
          <w:sz w:val="28"/>
        </w:rPr>
        <w:t>родажа алкогольной продукции, на расстоянии 50 метров к спортивным сооружениям, которые являются объектами недвижимости и права на которые зарегистрированы в установленном порядке.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bookmarkStart w:id="4" w:name="Par26"/>
      <w:bookmarkEnd w:id="4"/>
      <w:r>
        <w:rPr>
          <w:rFonts w:ascii="TimesNewRoman" w:eastAsia="TimesNewRoman" w:hAnsi="TimesNewRoman" w:cs="TimesNewRoman"/>
          <w:sz w:val="28"/>
        </w:rPr>
        <w:t>4. Установить на территории Губкинского городского округа Белгородской обла</w:t>
      </w:r>
      <w:r>
        <w:rPr>
          <w:rFonts w:ascii="TimesNewRoman" w:eastAsia="TimesNewRoman" w:hAnsi="TimesNewRoman" w:cs="TimesNewRoman"/>
          <w:sz w:val="28"/>
        </w:rPr>
        <w:t>сти границы прилегающих территорий, на которых не допускается розничная продажа алкогольной продукции при оказании услуг общественного питания, на расстоянии 50 метров к спортивным сооружениям, которые являются объектами недвижимости и права на которые зар</w:t>
      </w:r>
      <w:r>
        <w:rPr>
          <w:rFonts w:ascii="TimesNewRoman" w:eastAsia="TimesNewRoman" w:hAnsi="TimesNewRoman" w:cs="TimesNewRoman"/>
          <w:sz w:val="28"/>
        </w:rPr>
        <w:t>егистрированы в установленном порядке, во время проведения в них детско-юношеских спортивных мероприятий.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bookmarkStart w:id="5" w:name="Par28"/>
      <w:bookmarkEnd w:id="5"/>
      <w:r>
        <w:rPr>
          <w:rFonts w:ascii="TimesNewRoman" w:eastAsia="TimesNewRoman" w:hAnsi="TimesNewRoman" w:cs="TimesNewRoman"/>
          <w:sz w:val="28"/>
        </w:rPr>
        <w:t xml:space="preserve">5. Установить на территории Губкинского городского округа Белгородской области границы прилегающих территорий, на которых не допускается </w:t>
      </w:r>
      <w:r>
        <w:rPr>
          <w:rFonts w:ascii="TimesNewRoman" w:eastAsia="TimesNewRoman" w:hAnsi="TimesNewRoman" w:cs="TimesNewRoman"/>
          <w:sz w:val="28"/>
        </w:rPr>
        <w:lastRenderedPageBreak/>
        <w:t>розничная про</w:t>
      </w:r>
      <w:r>
        <w:rPr>
          <w:rFonts w:ascii="TimesNewRoman" w:eastAsia="TimesNewRoman" w:hAnsi="TimesNewRoman" w:cs="TimesNewRoman"/>
          <w:sz w:val="28"/>
        </w:rPr>
        <w:t>дажа алкогольной продукции при оказании услуг общественного питания, в объектах общественного питания с залом обслуживания посетителей общей площадью менее 20 квадратных метров, к многоквартирным домам на расстоянии 50 метров.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6. Утвердить порядок определе</w:t>
      </w:r>
      <w:r>
        <w:rPr>
          <w:rFonts w:ascii="TimesNewRoman" w:eastAsia="TimesNewRoman" w:hAnsi="TimesNewRoman" w:cs="TimesNewRoman"/>
          <w:sz w:val="28"/>
        </w:rPr>
        <w:t>ния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на территории Губкинского городского округа Белгородской области (прила</w:t>
      </w:r>
      <w:r>
        <w:rPr>
          <w:rFonts w:ascii="TimesNewRoman" w:eastAsia="TimesNewRoman" w:hAnsi="TimesNewRoman" w:cs="TimesNewRoman"/>
          <w:sz w:val="28"/>
        </w:rPr>
        <w:t>гается).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</w:rPr>
        <w:t>7. Управлению потребительского рынка, бытовых услуг и защиты прав потребителей администрации Губкинского городского округа (Гладких М.В.):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</w:rPr>
        <w:t xml:space="preserve">- не позднее 30 календарных дней со дня принятия настоящего постановления направить его копию в департамент </w:t>
      </w:r>
      <w:r>
        <w:rPr>
          <w:rFonts w:ascii="TimesNewRoman" w:eastAsia="TimesNewRoman" w:hAnsi="TimesNewRoman" w:cs="TimesNewRoman"/>
          <w:sz w:val="28"/>
        </w:rPr>
        <w:t>потребительского рынка министерства сельского хозяйства и продовольствия Белгородской области;</w:t>
      </w:r>
    </w:p>
    <w:p w:rsidR="004214B3" w:rsidRDefault="0072035D">
      <w:pPr>
        <w:pStyle w:val="ConsPlusNormal"/>
        <w:ind w:firstLine="540"/>
        <w:jc w:val="both"/>
        <w:rPr>
          <w:color w:val="FF0000"/>
        </w:rPr>
      </w:pPr>
      <w:r>
        <w:rPr>
          <w:rFonts w:ascii="TimesNewRoman" w:eastAsia="TimesNewRoman" w:hAnsi="TimesNewRoman" w:cs="TimesNewRoman"/>
          <w:sz w:val="28"/>
        </w:rPr>
        <w:t>- в порядке, предусмотренн</w:t>
      </w:r>
      <w:r>
        <w:rPr>
          <w:rFonts w:ascii="TimesNewRoman" w:eastAsia="TimesNewRoman" w:hAnsi="TimesNewRoman" w:cs="TimesNewRoman"/>
          <w:sz w:val="28"/>
        </w:rPr>
        <w:t>ом постановлением Правительства Белгородской области от 26 марта 2018 года № 91-пп «О реализации отдельных положений статьи 16 Федераль</w:t>
      </w:r>
      <w:r>
        <w:rPr>
          <w:rFonts w:ascii="TimesNewRoman" w:eastAsia="TimesNewRoman" w:hAnsi="TimesNewRoman" w:cs="TimesNewRoman"/>
          <w:sz w:val="28"/>
        </w:rPr>
        <w:t xml:space="preserve">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NewRoman" w:eastAsia="TimesNewRoman" w:hAnsi="TimesNewRoman" w:cs="TimesNewRoman"/>
          <w:sz w:val="28"/>
        </w:rPr>
        <w:t>проинформировать о принятии насто</w:t>
      </w:r>
      <w:r>
        <w:rPr>
          <w:rFonts w:ascii="TimesNewRoman" w:eastAsia="TimesNewRoman" w:hAnsi="TimesNewRoman" w:cs="TimesNewRoman"/>
          <w:sz w:val="28"/>
        </w:rPr>
        <w:t>ящего постановления расположенные на территории Губкинского городского округа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</w:t>
      </w:r>
      <w:r>
        <w:rPr>
          <w:rFonts w:ascii="TimesNewRoman" w:eastAsia="TimesNewRoman" w:hAnsi="TimesNewRoman" w:cs="TimesNewRoman"/>
          <w:sz w:val="28"/>
        </w:rPr>
        <w:t>хи</w:t>
      </w:r>
      <w:r>
        <w:rPr>
          <w:rFonts w:ascii="TimesNewRoman" w:eastAsia="TimesNewRoman" w:hAnsi="TimesNewRoman" w:cs="TimesNewRoman"/>
          <w:sz w:val="28"/>
        </w:rPr>
        <w:t>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и признаваемые сельскохозяйственными товаропроизводителями орг</w:t>
      </w:r>
      <w:r>
        <w:rPr>
          <w:rFonts w:ascii="TimesNewRoman" w:eastAsia="TimesNewRoman" w:hAnsi="TimesNewRoman" w:cs="TimesNewRoman"/>
          <w:sz w:val="28"/>
        </w:rPr>
        <w:t>анизации, крестьянские (фермерские) хозяйства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</w:t>
      </w:r>
      <w:r>
        <w:rPr>
          <w:rFonts w:ascii="TimesNewRoman" w:eastAsia="TimesNewRoman" w:hAnsi="TimesNewRoman" w:cs="TimesNewRoman"/>
          <w:sz w:val="28"/>
        </w:rPr>
        <w:t xml:space="preserve">ественного питания. 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8. Признать утратившими силу </w:t>
      </w:r>
      <w:hyperlink r:id="rId7" w:tooltip="https://login.consultant.ru/link/?req=doc&amp;base=RLAW404&amp;n=36566" w:history="1">
        <w:r>
          <w:rPr>
            <w:rFonts w:ascii="TimesNewRoman" w:eastAsia="TimesNewRoman" w:hAnsi="TimesNewRoman" w:cs="TimesNewRoman"/>
            <w:color w:val="000000"/>
            <w:sz w:val="28"/>
          </w:rPr>
          <w:t>постановления</w:t>
        </w:r>
      </w:hyperlink>
      <w:r>
        <w:rPr>
          <w:rFonts w:ascii="TimesNewRoman" w:eastAsia="TimesNewRoman" w:hAnsi="TimesNewRoman" w:cs="TimesNewRoman"/>
          <w:color w:val="000000"/>
          <w:sz w:val="28"/>
        </w:rPr>
        <w:t xml:space="preserve"> администрации Губкинского городского округа</w:t>
      </w:r>
      <w:r>
        <w:rPr>
          <w:rFonts w:ascii="TimesNewRoman" w:eastAsia="TimesNewRoman" w:hAnsi="TimesNewRoman" w:cs="TimesNewRoman"/>
          <w:sz w:val="28"/>
        </w:rPr>
        <w:t>: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color w:val="000000"/>
          <w:sz w:val="24"/>
        </w:rPr>
      </w:pPr>
      <w:r>
        <w:rPr>
          <w:rFonts w:ascii="TimesNewRoman" w:eastAsia="TimesNewRoman" w:hAnsi="TimesNewRoman" w:cs="TimesNewRoman"/>
          <w:color w:val="000000"/>
          <w:sz w:val="28"/>
        </w:rPr>
        <w:t>-  от 27 июня 2013 года № 1511-па «Об утверждении значения расстояния от некоторых организаций и (или) объектов до границ прилегающих территорий, на которых не  допускается  розничная продажа алкогольной продукции, и способа расчета данного расстояния на т</w:t>
      </w:r>
      <w:r>
        <w:rPr>
          <w:rFonts w:ascii="TimesNewRoman" w:eastAsia="TimesNewRoman" w:hAnsi="TimesNewRoman" w:cs="TimesNewRoman"/>
          <w:color w:val="000000"/>
          <w:sz w:val="28"/>
        </w:rPr>
        <w:t>ерритории Губкинского городского округа»;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</w:rPr>
        <w:t xml:space="preserve">- от 31 марта 2015 года № 669-па «О внесении изменений в постановление администрации Губкинского городского округа от 27 июня 2013 года </w:t>
      </w:r>
      <w:r>
        <w:rPr>
          <w:rFonts w:ascii="TimesNewRoman" w:eastAsia="TimesNewRoman" w:hAnsi="TimesNewRoman" w:cs="TimesNewRoman"/>
          <w:color w:val="000000"/>
          <w:sz w:val="28"/>
        </w:rPr>
        <w:br/>
        <w:t>№ 1511-па»;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color w:val="000000"/>
          <w:sz w:val="24"/>
        </w:rPr>
      </w:pPr>
      <w:r>
        <w:rPr>
          <w:rFonts w:ascii="TimesNewRoman" w:eastAsia="TimesNewRoman" w:hAnsi="TimesNewRoman" w:cs="TimesNewRoman"/>
          <w:color w:val="000000"/>
          <w:sz w:val="28"/>
        </w:rPr>
        <w:t>- от 16 апреля 2015 года № 743-па «Об утверждении схем границ при</w:t>
      </w:r>
      <w:r>
        <w:rPr>
          <w:rFonts w:ascii="TimesNewRoman" w:eastAsia="TimesNewRoman" w:hAnsi="TimesNewRoman" w:cs="TimesNewRoman"/>
          <w:color w:val="000000"/>
          <w:sz w:val="28"/>
        </w:rPr>
        <w:t xml:space="preserve">легающих территорий к организациям и (или) объектам, на которых не </w:t>
      </w:r>
      <w:r>
        <w:rPr>
          <w:rFonts w:ascii="TimesNewRoman" w:eastAsia="TimesNewRoman" w:hAnsi="TimesNewRoman" w:cs="TimesNewRoman"/>
          <w:color w:val="000000"/>
          <w:sz w:val="28"/>
        </w:rPr>
        <w:lastRenderedPageBreak/>
        <w:t>допускается розничная продажа алкогольной продукции на территории Губкинского городского округа».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9.</w:t>
      </w:r>
      <w:r>
        <w:rPr>
          <w:rFonts w:ascii="TimesNewRoman" w:eastAsia="TimesNewRoman" w:hAnsi="TimesNewRoman" w:cs="TimesNewRoman"/>
          <w:color w:val="000000" w:themeColor="text1"/>
          <w:sz w:val="28"/>
        </w:rPr>
        <w:t xml:space="preserve"> </w:t>
      </w:r>
      <w:r>
        <w:rPr>
          <w:rFonts w:ascii="TimesNewRoman" w:eastAsia="TimesNewRoman" w:hAnsi="TimesNewRoman" w:cs="TimesNewRoman"/>
          <w:sz w:val="28"/>
        </w:rPr>
        <w:t>Контроль за исполнением постановления возложить на заместителя главы администрации по ин</w:t>
      </w:r>
      <w:r>
        <w:rPr>
          <w:rFonts w:ascii="TimesNewRoman" w:eastAsia="TimesNewRoman" w:hAnsi="TimesNewRoman" w:cs="TimesNewRoman"/>
          <w:sz w:val="28"/>
        </w:rPr>
        <w:t>вестиционной политике и экономическому развитию.</w:t>
      </w:r>
      <w:r>
        <w:rPr>
          <w:rFonts w:ascii="TimesNewRoman" w:eastAsia="TimesNewRoman" w:hAnsi="TimesNewRoman" w:cs="TimesNewRoman"/>
          <w:color w:val="000000" w:themeColor="text1"/>
          <w:sz w:val="28"/>
        </w:rPr>
        <w:t xml:space="preserve"> </w:t>
      </w:r>
    </w:p>
    <w:p w:rsidR="004214B3" w:rsidRDefault="004214B3">
      <w:pPr>
        <w:pStyle w:val="ConsNonformat"/>
        <w:keepNext/>
        <w:rPr>
          <w:rFonts w:ascii="TimesNewRoman" w:eastAsia="TimesNewRoman" w:hAnsi="TimesNewRoman" w:cs="TimesNewRoman"/>
          <w:b/>
          <w:sz w:val="28"/>
          <w:szCs w:val="28"/>
        </w:rPr>
      </w:pPr>
    </w:p>
    <w:p w:rsidR="004214B3" w:rsidRDefault="004214B3">
      <w:pPr>
        <w:pStyle w:val="ConsNonformat"/>
        <w:keepNext/>
        <w:rPr>
          <w:rFonts w:ascii="TimesNewRoman" w:eastAsia="TimesNewRoman" w:hAnsi="TimesNewRoman" w:cs="TimesNewRoman"/>
          <w:b/>
          <w:sz w:val="28"/>
          <w:szCs w:val="28"/>
        </w:rPr>
      </w:pPr>
    </w:p>
    <w:p w:rsidR="004214B3" w:rsidRDefault="004214B3">
      <w:pPr>
        <w:pStyle w:val="ConsNonformat"/>
        <w:keepNext/>
        <w:rPr>
          <w:rFonts w:ascii="TimesNewRoman" w:eastAsia="TimesNewRoman" w:hAnsi="TimesNewRoman" w:cs="TimesNewRoman"/>
          <w:b/>
          <w:sz w:val="28"/>
          <w:szCs w:val="28"/>
        </w:rPr>
      </w:pPr>
    </w:p>
    <w:p w:rsidR="004214B3" w:rsidRDefault="0072035D">
      <w:pPr>
        <w:pStyle w:val="ConsNonformat"/>
        <w:keepNext/>
        <w:rPr>
          <w:rFonts w:ascii="TimesNewRoman" w:eastAsia="TimesNewRoman" w:hAnsi="TimesNewRoman" w:cs="TimesNewRoman"/>
          <w:b/>
          <w:sz w:val="28"/>
          <w:szCs w:val="28"/>
        </w:rPr>
      </w:pPr>
      <w:r>
        <w:rPr>
          <w:rFonts w:ascii="TimesNewRoman" w:eastAsia="TimesNewRoman" w:hAnsi="TimesNewRoman" w:cs="TimesNewRoman"/>
          <w:b/>
          <w:sz w:val="28"/>
        </w:rPr>
        <w:t xml:space="preserve">Глава администрации </w:t>
      </w:r>
    </w:p>
    <w:p w:rsidR="004214B3" w:rsidRDefault="0072035D">
      <w:pPr>
        <w:pStyle w:val="ConsNonformat"/>
        <w:keepNext/>
        <w:tabs>
          <w:tab w:val="left" w:pos="7654"/>
        </w:tabs>
        <w:jc w:val="both"/>
        <w:rPr>
          <w:rFonts w:ascii="TimesNewRoman" w:eastAsia="TimesNewRoman" w:hAnsi="TimesNewRoman" w:cs="TimesNewRoman"/>
          <w:b/>
          <w:sz w:val="24"/>
        </w:rPr>
      </w:pPr>
      <w:r>
        <w:rPr>
          <w:rFonts w:ascii="TimesNewRoman" w:eastAsia="TimesNewRoman" w:hAnsi="TimesNewRoman" w:cs="TimesNewRoman"/>
          <w:b/>
          <w:sz w:val="28"/>
        </w:rPr>
        <w:t>Губкинского городского округа</w:t>
      </w:r>
      <w:r>
        <w:rPr>
          <w:rFonts w:ascii="TimesNewRoman" w:eastAsia="TimesNewRoman" w:hAnsi="TimesNewRoman" w:cs="TimesNewRoman"/>
          <w:b/>
          <w:sz w:val="28"/>
        </w:rPr>
        <w:tab/>
        <w:t xml:space="preserve"> М.А. Лобазнов</w:t>
      </w:r>
    </w:p>
    <w:p w:rsidR="004214B3" w:rsidRDefault="0072035D">
      <w:pPr>
        <w:outlineLvl w:val="0"/>
        <w:rPr>
          <w:rFonts w:ascii="TimesNewRoman" w:eastAsia="TimesNewRoman" w:hAnsi="TimesNewRoman" w:cs="TimesNewRoman"/>
          <w:b/>
          <w:bCs/>
          <w:sz w:val="24"/>
          <w:szCs w:val="24"/>
        </w:rPr>
      </w:pPr>
      <w:r>
        <w:rPr>
          <w:rFonts w:ascii="TimesNewRoman" w:eastAsia="TimesNewRoman" w:hAnsi="TimesNewRoman" w:cs="TimesNewRoman"/>
          <w:b/>
          <w:sz w:val="28"/>
          <w:szCs w:val="22"/>
        </w:rPr>
        <w:br w:type="page" w:clear="all"/>
      </w:r>
    </w:p>
    <w:p w:rsidR="004214B3" w:rsidRDefault="0072035D">
      <w:pPr>
        <w:jc w:val="right"/>
        <w:outlineLvl w:val="0"/>
        <w:rPr>
          <w:rFonts w:ascii="TimesNewRoman" w:eastAsia="TimesNewRoman" w:hAnsi="TimesNewRoman" w:cs="TimesNewRoman"/>
          <w:b/>
          <w:bCs/>
          <w:sz w:val="28"/>
          <w:szCs w:val="28"/>
        </w:rPr>
      </w:pPr>
      <w:r>
        <w:rPr>
          <w:rFonts w:ascii="TimesNewRoman" w:eastAsia="TimesNewRoman" w:hAnsi="TimesNewRoman" w:cs="TimesNewRoman"/>
          <w:b/>
          <w:sz w:val="28"/>
          <w:szCs w:val="22"/>
        </w:rPr>
        <w:lastRenderedPageBreak/>
        <w:t>Приложение</w:t>
      </w:r>
    </w:p>
    <w:p w:rsidR="004214B3" w:rsidRDefault="004214B3">
      <w:pPr>
        <w:pStyle w:val="ConsPlusNormal"/>
        <w:ind w:left="4677"/>
        <w:jc w:val="center"/>
        <w:outlineLvl w:val="0"/>
        <w:rPr>
          <w:rFonts w:ascii="TimesNewRoman" w:eastAsia="TimesNewRoman" w:hAnsi="TimesNewRoman" w:cs="TimesNewRoman"/>
          <w:b/>
          <w:bCs/>
          <w:sz w:val="28"/>
          <w:szCs w:val="28"/>
        </w:rPr>
      </w:pPr>
    </w:p>
    <w:p w:rsidR="004214B3" w:rsidRDefault="0072035D">
      <w:pPr>
        <w:pStyle w:val="ConsPlusNormal"/>
        <w:ind w:left="4677"/>
        <w:jc w:val="center"/>
        <w:outlineLvl w:val="0"/>
        <w:rPr>
          <w:rFonts w:ascii="TimesNewRoman" w:eastAsia="TimesNewRoman" w:hAnsi="TimesNewRoman" w:cs="TimesNewRoman"/>
          <w:b/>
          <w:bCs/>
          <w:sz w:val="32"/>
          <w:szCs w:val="32"/>
        </w:rPr>
      </w:pPr>
      <w:r>
        <w:rPr>
          <w:rFonts w:ascii="TimesNewRoman" w:eastAsia="TimesNewRoman" w:hAnsi="TimesNewRoman" w:cs="TimesNewRoman"/>
          <w:b/>
          <w:sz w:val="28"/>
          <w:szCs w:val="22"/>
        </w:rPr>
        <w:t>УТВЕРЖДЕН</w:t>
      </w:r>
    </w:p>
    <w:p w:rsidR="004214B3" w:rsidRDefault="0072035D">
      <w:pPr>
        <w:pStyle w:val="ConsPlusNormal"/>
        <w:ind w:left="4677"/>
        <w:jc w:val="center"/>
        <w:rPr>
          <w:rFonts w:ascii="TimesNewRoman" w:eastAsia="TimesNewRoman" w:hAnsi="TimesNewRoman" w:cs="TimesNewRoman"/>
          <w:b/>
          <w:sz w:val="32"/>
          <w:szCs w:val="24"/>
        </w:rPr>
      </w:pPr>
      <w:r>
        <w:rPr>
          <w:rFonts w:ascii="TimesNewRoman" w:eastAsia="TimesNewRoman" w:hAnsi="TimesNewRoman" w:cs="TimesNewRoman"/>
          <w:b/>
          <w:sz w:val="28"/>
          <w:szCs w:val="22"/>
        </w:rPr>
        <w:t>постановлением</w:t>
      </w:r>
      <w:r>
        <w:rPr>
          <w:rFonts w:ascii="TimesNewRoman" w:eastAsia="TimesNewRoman" w:hAnsi="TimesNewRoman" w:cs="TimesNewRoman"/>
          <w:b/>
          <w:sz w:val="32"/>
          <w:szCs w:val="24"/>
        </w:rPr>
        <w:t xml:space="preserve"> </w:t>
      </w:r>
      <w:r>
        <w:rPr>
          <w:rFonts w:ascii="TimesNewRoman" w:eastAsia="TimesNewRoman" w:hAnsi="TimesNewRoman" w:cs="TimesNewRoman"/>
          <w:b/>
          <w:sz w:val="28"/>
          <w:szCs w:val="22"/>
        </w:rPr>
        <w:t>администрации Губкинского</w:t>
      </w:r>
      <w:r>
        <w:rPr>
          <w:rFonts w:ascii="TimesNewRoman" w:eastAsia="TimesNewRoman" w:hAnsi="TimesNewRoman" w:cs="TimesNewRoman"/>
          <w:b/>
          <w:sz w:val="32"/>
          <w:szCs w:val="24"/>
        </w:rPr>
        <w:t xml:space="preserve"> </w:t>
      </w:r>
      <w:r>
        <w:rPr>
          <w:rFonts w:ascii="TimesNewRoman" w:eastAsia="TimesNewRoman" w:hAnsi="TimesNewRoman" w:cs="TimesNewRoman"/>
          <w:b/>
          <w:sz w:val="28"/>
          <w:szCs w:val="22"/>
        </w:rPr>
        <w:t>городского округа</w:t>
      </w:r>
    </w:p>
    <w:p w:rsidR="004214B3" w:rsidRDefault="0072035D">
      <w:pPr>
        <w:pStyle w:val="ConsPlusNormal"/>
        <w:ind w:left="4677"/>
        <w:jc w:val="center"/>
        <w:rPr>
          <w:rFonts w:ascii="TimesNewRoman" w:eastAsia="TimesNewRoman" w:hAnsi="TimesNewRoman" w:cs="TimesNewRoman"/>
          <w:sz w:val="36"/>
          <w:szCs w:val="24"/>
        </w:rPr>
      </w:pPr>
      <w:r>
        <w:rPr>
          <w:rFonts w:ascii="TimesNewRoman" w:eastAsia="TimesNewRoman" w:hAnsi="TimesNewRoman" w:cs="TimesNewRoman"/>
          <w:b/>
          <w:sz w:val="28"/>
          <w:szCs w:val="22"/>
        </w:rPr>
        <w:t>от « ____ » _________ 2024 г. № ______</w:t>
      </w:r>
    </w:p>
    <w:p w:rsidR="004214B3" w:rsidRDefault="004214B3">
      <w:pPr>
        <w:pStyle w:val="ConsPlusNormal"/>
        <w:ind w:left="4677"/>
        <w:jc w:val="both"/>
        <w:rPr>
          <w:rFonts w:ascii="TimesNewRoman" w:eastAsia="TimesNewRoman" w:hAnsi="TimesNewRoman" w:cs="TimesNewRoman"/>
          <w:sz w:val="28"/>
          <w:szCs w:val="28"/>
        </w:rPr>
      </w:pPr>
    </w:p>
    <w:p w:rsidR="004214B3" w:rsidRDefault="004214B3">
      <w:pPr>
        <w:pStyle w:val="ConsPlusNormal"/>
        <w:ind w:left="4677"/>
        <w:jc w:val="both"/>
        <w:rPr>
          <w:rFonts w:ascii="TimesNewRoman" w:eastAsia="TimesNewRoman" w:hAnsi="TimesNewRoman" w:cs="TimesNewRoman"/>
          <w:sz w:val="28"/>
          <w:szCs w:val="28"/>
        </w:rPr>
      </w:pPr>
    </w:p>
    <w:p w:rsidR="004214B3" w:rsidRDefault="004214B3">
      <w:pPr>
        <w:pStyle w:val="ConsPlusNormal"/>
        <w:jc w:val="center"/>
        <w:rPr>
          <w:rFonts w:ascii="TimesNewRoman" w:eastAsia="TimesNewRoman" w:hAnsi="TimesNewRoman" w:cs="TimesNewRoman"/>
          <w:b/>
          <w:sz w:val="28"/>
        </w:rPr>
      </w:pPr>
    </w:p>
    <w:p w:rsidR="004214B3" w:rsidRDefault="0072035D">
      <w:pPr>
        <w:pStyle w:val="ConsPlusNormal"/>
        <w:jc w:val="center"/>
        <w:rPr>
          <w:rFonts w:ascii="TimesNewRoman" w:eastAsia="TimesNewRoman" w:hAnsi="TimesNewRoman" w:cs="TimesNewRoman"/>
          <w:b/>
          <w:sz w:val="28"/>
        </w:rPr>
      </w:pPr>
      <w:bookmarkStart w:id="6" w:name="Par73"/>
      <w:bookmarkEnd w:id="6"/>
      <w:r>
        <w:rPr>
          <w:rFonts w:ascii="TimesNewRoman" w:eastAsia="TimesNewRoman" w:hAnsi="TimesNewRoman" w:cs="TimesNewRoman"/>
          <w:b/>
          <w:sz w:val="28"/>
        </w:rPr>
        <w:t>Порядок</w:t>
      </w:r>
    </w:p>
    <w:p w:rsidR="004214B3" w:rsidRDefault="0072035D">
      <w:pPr>
        <w:pStyle w:val="ConsPlusNormal"/>
        <w:jc w:val="center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>определения границ прилегающих территорий, на которых</w:t>
      </w:r>
    </w:p>
    <w:p w:rsidR="004214B3" w:rsidRDefault="0072035D">
      <w:pPr>
        <w:pStyle w:val="ConsPlusNormal"/>
        <w:jc w:val="center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>не допускаются розничная продажа алкогольной продукции</w:t>
      </w:r>
    </w:p>
    <w:p w:rsidR="004214B3" w:rsidRDefault="0072035D">
      <w:pPr>
        <w:pStyle w:val="ConsPlusNormal"/>
        <w:jc w:val="center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>и розничная продажа алкогольной продукции при оказании</w:t>
      </w:r>
    </w:p>
    <w:p w:rsidR="004214B3" w:rsidRDefault="0072035D">
      <w:pPr>
        <w:pStyle w:val="ConsPlusNormal"/>
        <w:jc w:val="center"/>
        <w:rPr>
          <w:rFonts w:ascii="TimesNewRoman" w:eastAsia="TimesNewRoman" w:hAnsi="TimesNewRoman" w:cs="TimesNewRoman"/>
          <w:b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>услуг общественного питания, на территории</w:t>
      </w:r>
    </w:p>
    <w:p w:rsidR="004214B3" w:rsidRDefault="0072035D">
      <w:pPr>
        <w:pStyle w:val="ConsPlusNormal"/>
        <w:jc w:val="center"/>
        <w:rPr>
          <w:rFonts w:ascii="TimesNewRoman" w:eastAsia="TimesNewRoman" w:hAnsi="TimesNewRoman" w:cs="TimesNewRoman"/>
          <w:b/>
          <w:bCs/>
          <w:sz w:val="28"/>
        </w:rPr>
      </w:pPr>
      <w:r>
        <w:rPr>
          <w:rFonts w:ascii="TimesNewRoman" w:eastAsia="TimesNewRoman" w:hAnsi="TimesNewRoman" w:cs="TimesNewRoman"/>
          <w:b/>
          <w:sz w:val="28"/>
        </w:rPr>
        <w:t>Губкинского городского окру</w:t>
      </w:r>
      <w:r>
        <w:rPr>
          <w:rFonts w:ascii="TimesNewRoman" w:eastAsia="TimesNewRoman" w:hAnsi="TimesNewRoman" w:cs="TimesNewRoman"/>
          <w:b/>
          <w:bCs/>
          <w:sz w:val="28"/>
        </w:rPr>
        <w:t xml:space="preserve">га </w:t>
      </w:r>
      <w:r>
        <w:rPr>
          <w:rFonts w:ascii="TimesNewRoman" w:eastAsia="TimesNewRoman" w:hAnsi="TimesNewRoman" w:cs="TimesNewRoman"/>
          <w:b/>
          <w:bCs/>
          <w:sz w:val="28"/>
        </w:rPr>
        <w:t>Белгородской области</w:t>
      </w:r>
    </w:p>
    <w:p w:rsidR="004214B3" w:rsidRDefault="004214B3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1. Расчет расстояния от организации и (или) объектов, указанных в пунктах 1 - 4 настоящего по</w:t>
      </w:r>
      <w:r>
        <w:rPr>
          <w:rFonts w:ascii="TimesNewRoman" w:eastAsia="TimesNewRoman" w:hAnsi="TimesNewRoman" w:cs="TimesNewRoman"/>
          <w:sz w:val="28"/>
        </w:rPr>
        <w:t>становления, до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на территории Губкинского городского округа Белгородской об</w:t>
      </w:r>
      <w:r>
        <w:rPr>
          <w:rFonts w:ascii="TimesNewRoman" w:eastAsia="TimesNewRoman" w:hAnsi="TimesNewRoman" w:cs="TimesNewRoman"/>
          <w:sz w:val="28"/>
        </w:rPr>
        <w:t>ласти осуществляется: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1) при наличии обособленной территории - от ближайшего входа для посетителей на обособленную территорию к объектам, указанным в пунктах </w:t>
      </w:r>
      <w:r>
        <w:rPr>
          <w:rFonts w:ascii="TimesNewRoman" w:eastAsia="TimesNewRoman" w:hAnsi="TimesNewRoman" w:cs="TimesNewRoman"/>
          <w:sz w:val="28"/>
        </w:rPr>
        <w:br/>
        <w:t xml:space="preserve">1 - 4 настоящего постановления, до ближайшего входа для посетителей в торговый объект или объект </w:t>
      </w:r>
      <w:r>
        <w:rPr>
          <w:rFonts w:ascii="TimesNewRoman" w:eastAsia="TimesNewRoman" w:hAnsi="TimesNewRoman" w:cs="TimesNewRoman"/>
          <w:sz w:val="28"/>
        </w:rPr>
        <w:t>общественного питания;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2) при отсутствии обособленной территории - от ближайшего входа для посетителей в здание (строение, сооружение), помещение, в которых расположены организации и (или) объекты, указанные в пунктах 1 - 4 настоящего постановления, до бли</w:t>
      </w:r>
      <w:r>
        <w:rPr>
          <w:rFonts w:ascii="TimesNewRoman" w:eastAsia="TimesNewRoman" w:hAnsi="TimesNewRoman" w:cs="TimesNewRoman"/>
          <w:sz w:val="28"/>
        </w:rPr>
        <w:t>жайшего входа для посетителей в торговый объект или объект общественного питания.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Пожарные, запасные и иные входы (выходы) в здания, строения, сооружения, которые не предназначены для входа (выхода) посетителей, при определении границ прилегающих территори</w:t>
      </w:r>
      <w:r>
        <w:rPr>
          <w:rFonts w:ascii="TimesNewRoman" w:eastAsia="TimesNewRoman" w:hAnsi="TimesNewRoman" w:cs="TimesNewRoman"/>
          <w:sz w:val="28"/>
        </w:rPr>
        <w:t>й не учитываются.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Под обособленной территорией понимается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</w:t>
      </w:r>
      <w:r>
        <w:rPr>
          <w:rFonts w:ascii="TimesNewRoman" w:eastAsia="TimesNewRoman" w:hAnsi="TimesNewRoman" w:cs="TimesNewRoman"/>
          <w:sz w:val="28"/>
        </w:rPr>
        <w:t xml:space="preserve"> в пунктах 1 - 4 настоящего постановления.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2. Расчет расстояния от объектов, указанных в пункте 5 настоящего постановления, осуществляется от входа в ближайший подъезд многоквартирного дома до ближайшего входа для посетителей в объект общественного питания</w:t>
      </w:r>
      <w:r>
        <w:rPr>
          <w:rFonts w:ascii="TimesNewRoman" w:eastAsia="TimesNewRoman" w:hAnsi="TimesNewRoman" w:cs="TimesNewRoman"/>
          <w:sz w:val="28"/>
        </w:rPr>
        <w:t>, осуществляющий розничную продажу алкогольной продукции и имеющий зал обслуживания посетителей общей площадью менее 20 квадратных метров.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lastRenderedPageBreak/>
        <w:t>3. Замер расстояний осуществляется с учетом сложившейся системы дорог, тротуаров, пешеходных путей (при их отсутствии</w:t>
      </w:r>
      <w:r>
        <w:rPr>
          <w:rFonts w:ascii="TimesNewRoman" w:eastAsia="TimesNewRoman" w:hAnsi="TimesNewRoman" w:cs="TimesNewRoman"/>
          <w:sz w:val="28"/>
        </w:rPr>
        <w:t xml:space="preserve"> - по обочинам, велосипедным дорожкам, краям проезжих частей) по кратчайшему маршруту движения пешехода от ближайшего входа для посетителей на обособленную территорию (при ее наличии) или в здание (строение, сооружение), помещение, в котором расположены пе</w:t>
      </w:r>
      <w:r>
        <w:rPr>
          <w:rFonts w:ascii="TimesNewRoman" w:eastAsia="TimesNewRoman" w:hAnsi="TimesNewRoman" w:cs="TimesNewRoman"/>
          <w:sz w:val="28"/>
        </w:rPr>
        <w:t>речисленные в пунктах 1 - 5 настоящего постановления организации и (или) объекты, до ближайшего входа для посетителей в торговый объект или объект общественного питания.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При пересечении пешеходной зоны с проезжей частью расстояние измеряется в жилой зоне, </w:t>
      </w:r>
      <w:r>
        <w:rPr>
          <w:rFonts w:ascii="TimesNewRoman" w:eastAsia="TimesNewRoman" w:hAnsi="TimesNewRoman" w:cs="TimesNewRoman"/>
          <w:sz w:val="28"/>
        </w:rPr>
        <w:t>в том числе на дворовых территориях, по маршруту движения пешеходов как по тротуарам, так и по проезжей части, за пределами жилой зоны - по ближайшему пешеходному переходу.</w:t>
      </w:r>
    </w:p>
    <w:p w:rsidR="004214B3" w:rsidRDefault="0072035D">
      <w:pPr>
        <w:pStyle w:val="ConsPlusNormal"/>
        <w:ind w:firstLine="540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4. В случае если организации, указанные в абзаце третьем пункта 1, юридические лица</w:t>
      </w:r>
      <w:r>
        <w:rPr>
          <w:rFonts w:ascii="TimesNewRoman" w:eastAsia="TimesNewRoman" w:hAnsi="TimesNewRoman" w:cs="TimesNewRoman"/>
          <w:sz w:val="28"/>
        </w:rPr>
        <w:t xml:space="preserve"> независимо от организационно-правовой формы, индивидуальные предприниматели, указанные в пункте 2 настоящего постановления, и торговые объекты или объекты общественного питания находятся в одном здании (строении, сооружении) многофункционального назначени</w:t>
      </w:r>
      <w:r>
        <w:rPr>
          <w:rFonts w:ascii="TimesNewRoman" w:eastAsia="TimesNewRoman" w:hAnsi="TimesNewRoman" w:cs="TimesNewRoman"/>
          <w:sz w:val="28"/>
        </w:rPr>
        <w:t>я с общим входом для посетителей, расчет расстояния производится по кратчайшему пути (в том числе с использованием лифтов и лестничных пролетов) внутри здания (строения, сооружения) от входа в помещения, в которых расположены организации, указанные в абзац</w:t>
      </w:r>
      <w:r>
        <w:rPr>
          <w:rFonts w:ascii="TimesNewRoman" w:eastAsia="TimesNewRoman" w:hAnsi="TimesNewRoman" w:cs="TimesNewRoman"/>
          <w:sz w:val="28"/>
        </w:rPr>
        <w:t>е третьем пункта 1, юридические лица независимо от организационно-правовой формы, индивидуальные предприниматели, указанные в пункте 2 настоящего постановления, до входа для посетителей в торговый объект или объект общественного питания.</w:t>
      </w:r>
    </w:p>
    <w:p w:rsidR="004214B3" w:rsidRDefault="004214B3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4214B3" w:rsidRDefault="004214B3">
      <w:pPr>
        <w:pStyle w:val="ConsPlusNormal"/>
        <w:jc w:val="both"/>
        <w:rPr>
          <w:rFonts w:ascii="TimesNewRoman" w:eastAsia="TimesNewRoman" w:hAnsi="TimesNewRoman" w:cs="TimesNewRoman"/>
          <w:sz w:val="28"/>
          <w:szCs w:val="28"/>
        </w:rPr>
      </w:pPr>
    </w:p>
    <w:p w:rsidR="004214B3" w:rsidRDefault="00421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4B3" w:rsidRDefault="0072035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 отдел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4214B3" w:rsidRDefault="0072035D">
      <w:pPr>
        <w:widowControl w:val="0"/>
        <w:tabs>
          <w:tab w:val="left" w:pos="7654"/>
          <w:tab w:val="left" w:pos="7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защиты прав потребителей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Т.С. Королева </w:t>
      </w:r>
    </w:p>
    <w:p w:rsidR="004214B3" w:rsidRDefault="004214B3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sectPr w:rsidR="004214B3">
      <w:headerReference w:type="default" r:id="rId8"/>
      <w:headerReference w:type="first" r:id="rId9"/>
      <w:footerReference w:type="first" r:id="rId10"/>
      <w:pgSz w:w="11906" w:h="16838"/>
      <w:pgMar w:top="1015" w:right="710" w:bottom="1083" w:left="1558" w:header="44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B3" w:rsidRDefault="0072035D">
      <w:pPr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separator/>
      </w:r>
    </w:p>
  </w:endnote>
  <w:endnote w:type="continuationSeparator" w:id="0">
    <w:p w:rsidR="004214B3" w:rsidRDefault="0072035D">
      <w:pPr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New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ArialNarrow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B3" w:rsidRDefault="004214B3">
    <w:pPr>
      <w:pStyle w:val="a9"/>
      <w:rPr>
        <w:rFonts w:ascii="Calibri" w:eastAsia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B3" w:rsidRDefault="0072035D">
      <w:pPr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separator/>
      </w:r>
    </w:p>
  </w:footnote>
  <w:footnote w:type="continuationSeparator" w:id="0">
    <w:p w:rsidR="004214B3" w:rsidRDefault="0072035D">
      <w:pPr>
        <w:rPr>
          <w:rFonts w:ascii="TimesNewRoman" w:eastAsia="TimesNewRoman" w:hAnsi="TimesNewRoman" w:cs="TimesNewRoman"/>
          <w:sz w:val="24"/>
        </w:rPr>
      </w:pPr>
      <w:r>
        <w:rPr>
          <w:rFonts w:ascii="TimesNewRoman" w:eastAsia="TimesNewRoman" w:hAnsi="TimesNewRoman" w:cs="TimesNewRoman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B3" w:rsidRDefault="0072035D">
    <w:pPr>
      <w:pStyle w:val="a8"/>
      <w:jc w:val="center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MERGEFORMAT</w:instrText>
    </w:r>
    <w:r>
      <w:fldChar w:fldCharType="separate"/>
    </w:r>
    <w:r>
      <w:rPr>
        <w:rFonts w:ascii="Calibri" w:eastAsia="Calibri" w:hAnsi="Calibri" w:cs="Calibri"/>
        <w:noProof/>
        <w:sz w:val="22"/>
      </w:rPr>
      <w:t>2</w:t>
    </w:r>
    <w:r>
      <w:fldChar w:fldCharType="end"/>
    </w:r>
  </w:p>
  <w:p w:rsidR="004214B3" w:rsidRDefault="004214B3">
    <w:pPr>
      <w:pStyle w:val="a8"/>
      <w:rPr>
        <w:rFonts w:ascii="Calibri" w:eastAsia="Calibri" w:hAnsi="Calibri" w:cs="Calibr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B3" w:rsidRDefault="004214B3">
    <w:pPr>
      <w:pStyle w:val="a8"/>
      <w:rPr>
        <w:rFonts w:ascii="Calibri" w:eastAsia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A0D47"/>
    <w:multiLevelType w:val="hybridMultilevel"/>
    <w:tmpl w:val="264EE1F6"/>
    <w:lvl w:ilvl="0" w:tplc="3C4A4DBC">
      <w:start w:val="1"/>
      <w:numFmt w:val="decimal"/>
      <w:lvlText w:val="·"/>
      <w:lvlJc w:val="left"/>
      <w:pPr>
        <w:ind w:hanging="360"/>
      </w:pPr>
    </w:lvl>
    <w:lvl w:ilvl="1" w:tplc="A56E1836">
      <w:start w:val="1"/>
      <w:numFmt w:val="lowerLetter"/>
      <w:lvlText w:val="o"/>
      <w:lvlJc w:val="left"/>
      <w:pPr>
        <w:ind w:hanging="360"/>
      </w:pPr>
    </w:lvl>
    <w:lvl w:ilvl="2" w:tplc="3184F760">
      <w:start w:val="1"/>
      <w:numFmt w:val="lowerRoman"/>
      <w:lvlText w:val="§"/>
      <w:lvlJc w:val="right"/>
      <w:pPr>
        <w:ind w:hanging="180"/>
      </w:pPr>
    </w:lvl>
    <w:lvl w:ilvl="3" w:tplc="CBBA3C0C">
      <w:start w:val="1"/>
      <w:numFmt w:val="decimal"/>
      <w:lvlText w:val="·"/>
      <w:lvlJc w:val="left"/>
      <w:pPr>
        <w:ind w:hanging="360"/>
      </w:pPr>
    </w:lvl>
    <w:lvl w:ilvl="4" w:tplc="10304BD0">
      <w:start w:val="1"/>
      <w:numFmt w:val="lowerLetter"/>
      <w:lvlText w:val="o"/>
      <w:lvlJc w:val="left"/>
      <w:pPr>
        <w:ind w:hanging="360"/>
      </w:pPr>
    </w:lvl>
    <w:lvl w:ilvl="5" w:tplc="C5BAF8D8">
      <w:start w:val="1"/>
      <w:numFmt w:val="lowerRoman"/>
      <w:lvlText w:val="§"/>
      <w:lvlJc w:val="right"/>
      <w:pPr>
        <w:ind w:hanging="180"/>
      </w:pPr>
    </w:lvl>
    <w:lvl w:ilvl="6" w:tplc="20FCE476">
      <w:start w:val="1"/>
      <w:numFmt w:val="decimal"/>
      <w:lvlText w:val="·"/>
      <w:lvlJc w:val="left"/>
      <w:pPr>
        <w:ind w:hanging="360"/>
      </w:pPr>
    </w:lvl>
    <w:lvl w:ilvl="7" w:tplc="2BFCB6E6">
      <w:start w:val="1"/>
      <w:numFmt w:val="lowerLetter"/>
      <w:lvlText w:val="o"/>
      <w:lvlJc w:val="left"/>
      <w:pPr>
        <w:ind w:hanging="360"/>
      </w:pPr>
    </w:lvl>
    <w:lvl w:ilvl="8" w:tplc="14E88448">
      <w:start w:val="1"/>
      <w:numFmt w:val="lowerRoman"/>
      <w:lvlText w:val="§"/>
      <w:lvlJc w:val="right"/>
      <w:pPr>
        <w:ind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B3"/>
    <w:rsid w:val="004214B3"/>
    <w:rsid w:val="007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108BD-B8EA-4800-B713-0C870FFF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a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</w:rPr>
  </w:style>
  <w:style w:type="paragraph" w:styleId="7">
    <w:name w:val="heading 7"/>
    <w:basedOn w:val="a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i/>
    </w:rPr>
  </w:style>
  <w:style w:type="paragraph" w:styleId="8">
    <w:name w:val="heading 8"/>
    <w:basedOn w:val="a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</w:rPr>
  </w:style>
  <w:style w:type="paragraph" w:styleId="9">
    <w:name w:val="heading 9"/>
    <w:basedOn w:val="a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eastAsia="Arial" w:hAnsi="Arial" w:cs="Arial"/>
      <w:i/>
      <w:sz w:val="21"/>
    </w:rPr>
  </w:style>
  <w:style w:type="paragraph" w:styleId="a3">
    <w:name w:val="List Paragraph"/>
    <w:basedOn w:val="a"/>
    <w:qFormat/>
    <w:pPr>
      <w:spacing w:after="0" w:line="240" w:lineRule="auto"/>
      <w:ind w:left="720"/>
      <w:contextualSpacing/>
    </w:pPr>
    <w:rPr>
      <w:rFonts w:ascii="Arial" w:eastAsia="Arial" w:hAnsi="Arial" w:cs="Arial"/>
      <w:sz w:val="24"/>
    </w:rPr>
  </w:style>
  <w:style w:type="paragraph" w:styleId="a4">
    <w:name w:val="No Spacing"/>
    <w:qFormat/>
    <w:pPr>
      <w:spacing w:after="0" w:line="240" w:lineRule="auto"/>
    </w:pPr>
    <w:rPr>
      <w:rFonts w:ascii="Arial" w:eastAsia="Arial" w:hAnsi="Arial" w:cs="Arial"/>
      <w:sz w:val="24"/>
    </w:rPr>
  </w:style>
  <w:style w:type="paragraph" w:styleId="a5">
    <w:name w:val="Title"/>
    <w:basedOn w:val="a"/>
    <w:qFormat/>
    <w:pPr>
      <w:spacing w:before="300" w:line="240" w:lineRule="auto"/>
      <w:contextualSpacing/>
    </w:pPr>
    <w:rPr>
      <w:rFonts w:ascii="Arial" w:eastAsia="Arial" w:hAnsi="Arial" w:cs="Arial"/>
      <w:sz w:val="48"/>
    </w:rPr>
  </w:style>
  <w:style w:type="character" w:customStyle="1" w:styleId="TitleChar">
    <w:name w:val="Title Char"/>
    <w:basedOn w:val="a0"/>
    <w:rPr>
      <w:rFonts w:ascii="Arial" w:eastAsia="Arial" w:hAnsi="Arial" w:cs="Arial"/>
      <w:sz w:val="48"/>
    </w:rPr>
  </w:style>
  <w:style w:type="paragraph" w:styleId="a6">
    <w:name w:val="Subtitle"/>
    <w:basedOn w:val="a"/>
    <w:qFormat/>
    <w:pPr>
      <w:spacing w:before="200" w:line="240" w:lineRule="auto"/>
    </w:pPr>
    <w:rPr>
      <w:rFonts w:ascii="Arial" w:eastAsia="Arial" w:hAnsi="Arial" w:cs="Arial"/>
      <w:sz w:val="24"/>
    </w:rPr>
  </w:style>
  <w:style w:type="character" w:customStyle="1" w:styleId="SubtitleChar">
    <w:name w:val="Subtitle Char"/>
    <w:basedOn w:val="a0"/>
    <w:rPr>
      <w:rFonts w:ascii="Arial" w:eastAsia="Arial" w:hAnsi="Arial" w:cs="Arial"/>
      <w:sz w:val="24"/>
    </w:rPr>
  </w:style>
  <w:style w:type="paragraph" w:styleId="20">
    <w:name w:val="Quote"/>
    <w:basedOn w:val="a"/>
    <w:qFormat/>
    <w:pPr>
      <w:spacing w:after="0" w:line="240" w:lineRule="auto"/>
      <w:ind w:left="720"/>
    </w:pPr>
    <w:rPr>
      <w:rFonts w:ascii="Arial" w:eastAsia="Arial" w:hAnsi="Arial" w:cs="Arial"/>
      <w:i/>
      <w:sz w:val="24"/>
    </w:rPr>
  </w:style>
  <w:style w:type="character" w:customStyle="1" w:styleId="QuoteChar">
    <w:name w:val="Quote Char"/>
    <w:rPr>
      <w:rFonts w:ascii="Arial" w:eastAsia="Arial" w:hAnsi="Arial" w:cs="Arial"/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/>
    </w:pPr>
    <w:rPr>
      <w:rFonts w:ascii="Arial" w:eastAsia="Arial" w:hAnsi="Arial" w:cs="Arial"/>
      <w:i/>
      <w:sz w:val="24"/>
    </w:rPr>
  </w:style>
  <w:style w:type="character" w:customStyle="1" w:styleId="IntenseQuoteChar">
    <w:name w:val="Intense Quote Char"/>
    <w:rPr>
      <w:rFonts w:ascii="Arial" w:eastAsia="Arial" w:hAnsi="Arial" w:cs="Arial"/>
      <w:i/>
      <w:sz w:val="24"/>
    </w:rPr>
  </w:style>
  <w:style w:type="paragraph" w:styleId="a8">
    <w:name w:val="header"/>
    <w:basedOn w:val="a"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Arial"/>
      <w:sz w:val="24"/>
    </w:rPr>
  </w:style>
  <w:style w:type="character" w:customStyle="1" w:styleId="HeaderChar">
    <w:name w:val="Header Char"/>
    <w:basedOn w:val="a0"/>
    <w:rPr>
      <w:rFonts w:ascii="Arial" w:eastAsia="Arial" w:hAnsi="Arial" w:cs="Arial"/>
      <w:sz w:val="24"/>
    </w:rPr>
  </w:style>
  <w:style w:type="paragraph" w:styleId="a9">
    <w:name w:val="footer"/>
    <w:basedOn w:val="a"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Arial"/>
      <w:sz w:val="24"/>
    </w:rPr>
  </w:style>
  <w:style w:type="character" w:customStyle="1" w:styleId="FooterChar">
    <w:name w:val="Footer Char"/>
    <w:basedOn w:val="a0"/>
    <w:rPr>
      <w:rFonts w:ascii="Arial" w:eastAsia="Arial" w:hAnsi="Arial" w:cs="Arial"/>
      <w:sz w:val="24"/>
    </w:rPr>
  </w:style>
  <w:style w:type="paragraph" w:styleId="aa">
    <w:name w:val="caption"/>
    <w:basedOn w:val="a"/>
    <w:semiHidden/>
    <w:unhideWhenUsed/>
    <w:qFormat/>
    <w:pPr>
      <w:spacing w:after="0"/>
    </w:pPr>
    <w:rPr>
      <w:rFonts w:ascii="Arial" w:eastAsia="Arial" w:hAnsi="Arial" w:cs="Arial"/>
      <w:b/>
      <w:color w:val="4F81BD"/>
      <w:sz w:val="18"/>
    </w:rPr>
  </w:style>
  <w:style w:type="character" w:customStyle="1" w:styleId="CaptionChar">
    <w:name w:val="Caption Char"/>
    <w:rPr>
      <w:rFonts w:ascii="Arial" w:eastAsia="Arial" w:hAnsi="Arial" w:cs="Arial"/>
      <w:sz w:val="24"/>
    </w:rPr>
  </w:style>
  <w:style w:type="table" w:styleId="ab">
    <w:name w:val="Table Grid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</w:tblPr>
  </w:style>
  <w:style w:type="table" w:styleId="10">
    <w:name w:val="Plain Table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</w:tblPr>
  </w:style>
  <w:style w:type="table" w:styleId="21">
    <w:name w:val="Plain Table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</w:tblPr>
  </w:style>
  <w:style w:type="table" w:styleId="30">
    <w:name w:val="Plain Table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40">
    <w:name w:val="Plain Table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50">
    <w:name w:val="Plain Table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1">
    <w:name w:val="Grid Table 1 Light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2">
    <w:name w:val="Grid Table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3">
    <w:name w:val="Grid Table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4">
    <w:name w:val="Grid Table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5">
    <w:name w:val="Grid Table 5 Dark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BFBFBF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DAE5F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F2DCDB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EAF0DD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E5DFEC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DAEEF3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FDE9D8"/>
      <w:tblCellMar>
        <w:left w:w="0" w:type="dxa"/>
        <w:right w:w="0" w:type="dxa"/>
      </w:tblCellMar>
    </w:tblPr>
  </w:style>
  <w:style w:type="table" w:styleId="-6">
    <w:name w:val="Grid Table 6 Colorful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7">
    <w:name w:val="Grid Table 7 Colorful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10">
    <w:name w:val="List Table 1 Light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20">
    <w:name w:val="List Table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30">
    <w:name w:val="List Table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40">
    <w:name w:val="List Table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50">
    <w:name w:val="List Table 5 Dark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7F7F7F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4F81BD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D99694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C3D69B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B2A1C6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91CDDC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F9BF90"/>
      <w:tblCellMar>
        <w:left w:w="0" w:type="dxa"/>
        <w:right w:w="0" w:type="dxa"/>
      </w:tblCellMar>
    </w:tblPr>
  </w:style>
  <w:style w:type="table" w:styleId="-60">
    <w:name w:val="List Table 6 Colorful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70">
    <w:name w:val="List Table 7 Colorful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character" w:styleId="ac">
    <w:name w:val="Hyperlink"/>
    <w:unhideWhenUsed/>
    <w:rPr>
      <w:rFonts w:ascii="Arial" w:eastAsia="Arial" w:hAnsi="Arial" w:cs="Arial"/>
      <w:color w:val="0000FF"/>
      <w:sz w:val="24"/>
      <w:u w:val="single"/>
    </w:rPr>
  </w:style>
  <w:style w:type="paragraph" w:styleId="ad">
    <w:name w:val="footnote text"/>
    <w:basedOn w:val="a"/>
    <w:semiHidden/>
    <w:unhideWhenUsed/>
    <w:pPr>
      <w:spacing w:after="40" w:line="240" w:lineRule="auto"/>
    </w:pPr>
    <w:rPr>
      <w:rFonts w:ascii="Arial" w:eastAsia="Arial" w:hAnsi="Arial" w:cs="Arial"/>
      <w:sz w:val="18"/>
    </w:rPr>
  </w:style>
  <w:style w:type="character" w:customStyle="1" w:styleId="FootnoteTextChar">
    <w:name w:val="Footnote Text Char"/>
    <w:rPr>
      <w:rFonts w:ascii="Arial" w:eastAsia="Arial" w:hAnsi="Arial" w:cs="Arial"/>
      <w:sz w:val="18"/>
    </w:rPr>
  </w:style>
  <w:style w:type="character" w:styleId="ae">
    <w:name w:val="footnote reference"/>
    <w:basedOn w:val="a0"/>
    <w:unhideWhenUsed/>
    <w:rPr>
      <w:rFonts w:ascii="Arial" w:eastAsia="Arial" w:hAnsi="Arial" w:cs="Arial"/>
      <w:sz w:val="24"/>
      <w:vertAlign w:val="superscript"/>
    </w:rPr>
  </w:style>
  <w:style w:type="paragraph" w:styleId="af">
    <w:name w:val="endnote text"/>
    <w:basedOn w:val="a"/>
    <w:semiHidden/>
    <w:unhideWhenUsed/>
    <w:pPr>
      <w:spacing w:after="0" w:line="240" w:lineRule="auto"/>
    </w:pPr>
    <w:rPr>
      <w:rFonts w:ascii="Arial" w:eastAsia="Arial" w:hAnsi="Arial" w:cs="Arial"/>
      <w:sz w:val="20"/>
    </w:rPr>
  </w:style>
  <w:style w:type="character" w:customStyle="1" w:styleId="EndnoteTextChar">
    <w:name w:val="Endnote Text Char"/>
    <w:rPr>
      <w:rFonts w:ascii="Arial" w:eastAsia="Arial" w:hAnsi="Arial" w:cs="Arial"/>
      <w:sz w:val="20"/>
    </w:rPr>
  </w:style>
  <w:style w:type="character" w:styleId="af0">
    <w:name w:val="endnote reference"/>
    <w:basedOn w:val="a0"/>
    <w:semiHidden/>
    <w:unhideWhenUsed/>
    <w:rPr>
      <w:rFonts w:ascii="Arial" w:eastAsia="Arial" w:hAnsi="Arial" w:cs="Arial"/>
      <w:sz w:val="24"/>
      <w:vertAlign w:val="superscript"/>
    </w:rPr>
  </w:style>
  <w:style w:type="paragraph" w:styleId="11">
    <w:name w:val="toc 1"/>
    <w:basedOn w:val="a"/>
    <w:unhideWhenUsed/>
    <w:pPr>
      <w:spacing w:after="57" w:line="240" w:lineRule="auto"/>
    </w:pPr>
    <w:rPr>
      <w:rFonts w:ascii="Arial" w:eastAsia="Arial" w:hAnsi="Arial" w:cs="Arial"/>
      <w:sz w:val="24"/>
    </w:rPr>
  </w:style>
  <w:style w:type="paragraph" w:styleId="22">
    <w:name w:val="toc 2"/>
    <w:basedOn w:val="a"/>
    <w:unhideWhenUsed/>
    <w:pPr>
      <w:spacing w:after="57" w:line="240" w:lineRule="auto"/>
      <w:ind w:left="283"/>
    </w:pPr>
    <w:rPr>
      <w:rFonts w:ascii="Arial" w:eastAsia="Arial" w:hAnsi="Arial" w:cs="Arial"/>
      <w:sz w:val="24"/>
    </w:rPr>
  </w:style>
  <w:style w:type="paragraph" w:styleId="31">
    <w:name w:val="toc 3"/>
    <w:basedOn w:val="a"/>
    <w:unhideWhenUsed/>
    <w:pPr>
      <w:spacing w:after="57" w:line="240" w:lineRule="auto"/>
      <w:ind w:left="567"/>
    </w:pPr>
    <w:rPr>
      <w:rFonts w:ascii="Arial" w:eastAsia="Arial" w:hAnsi="Arial" w:cs="Arial"/>
      <w:sz w:val="24"/>
    </w:rPr>
  </w:style>
  <w:style w:type="paragraph" w:styleId="41">
    <w:name w:val="toc 4"/>
    <w:basedOn w:val="a"/>
    <w:unhideWhenUsed/>
    <w:pPr>
      <w:spacing w:after="57" w:line="240" w:lineRule="auto"/>
      <w:ind w:left="850"/>
    </w:pPr>
    <w:rPr>
      <w:rFonts w:ascii="Arial" w:eastAsia="Arial" w:hAnsi="Arial" w:cs="Arial"/>
      <w:sz w:val="24"/>
    </w:rPr>
  </w:style>
  <w:style w:type="paragraph" w:styleId="51">
    <w:name w:val="toc 5"/>
    <w:basedOn w:val="a"/>
    <w:unhideWhenUsed/>
    <w:pPr>
      <w:spacing w:after="57" w:line="240" w:lineRule="auto"/>
      <w:ind w:left="1134"/>
    </w:pPr>
    <w:rPr>
      <w:rFonts w:ascii="Arial" w:eastAsia="Arial" w:hAnsi="Arial" w:cs="Arial"/>
      <w:sz w:val="24"/>
    </w:rPr>
  </w:style>
  <w:style w:type="paragraph" w:styleId="60">
    <w:name w:val="toc 6"/>
    <w:basedOn w:val="a"/>
    <w:unhideWhenUsed/>
    <w:pPr>
      <w:spacing w:after="57" w:line="240" w:lineRule="auto"/>
      <w:ind w:left="1417"/>
    </w:pPr>
    <w:rPr>
      <w:rFonts w:ascii="Arial" w:eastAsia="Arial" w:hAnsi="Arial" w:cs="Arial"/>
      <w:sz w:val="24"/>
    </w:rPr>
  </w:style>
  <w:style w:type="paragraph" w:styleId="70">
    <w:name w:val="toc 7"/>
    <w:basedOn w:val="a"/>
    <w:unhideWhenUsed/>
    <w:pPr>
      <w:spacing w:after="57" w:line="240" w:lineRule="auto"/>
      <w:ind w:left="1701"/>
    </w:pPr>
    <w:rPr>
      <w:rFonts w:ascii="Arial" w:eastAsia="Arial" w:hAnsi="Arial" w:cs="Arial"/>
      <w:sz w:val="24"/>
    </w:rPr>
  </w:style>
  <w:style w:type="paragraph" w:styleId="80">
    <w:name w:val="toc 8"/>
    <w:basedOn w:val="a"/>
    <w:unhideWhenUsed/>
    <w:pPr>
      <w:spacing w:after="57" w:line="240" w:lineRule="auto"/>
      <w:ind w:left="1984"/>
    </w:pPr>
    <w:rPr>
      <w:rFonts w:ascii="Arial" w:eastAsia="Arial" w:hAnsi="Arial" w:cs="Arial"/>
      <w:sz w:val="24"/>
    </w:rPr>
  </w:style>
  <w:style w:type="paragraph" w:styleId="90">
    <w:name w:val="toc 9"/>
    <w:basedOn w:val="a"/>
    <w:unhideWhenUsed/>
    <w:pPr>
      <w:spacing w:after="57" w:line="240" w:lineRule="auto"/>
      <w:ind w:left="2268"/>
    </w:pPr>
    <w:rPr>
      <w:rFonts w:ascii="Arial" w:eastAsia="Arial" w:hAnsi="Arial" w:cs="Arial"/>
      <w:sz w:val="24"/>
    </w:rPr>
  </w:style>
  <w:style w:type="paragraph" w:styleId="af1">
    <w:name w:val="TOC Heading"/>
    <w:unhideWhenUsed/>
    <w:pPr>
      <w:spacing w:after="0" w:line="240" w:lineRule="auto"/>
    </w:pPr>
    <w:rPr>
      <w:rFonts w:ascii="Arial" w:eastAsia="Arial" w:hAnsi="Arial" w:cs="Arial"/>
      <w:sz w:val="24"/>
    </w:rPr>
  </w:style>
  <w:style w:type="paragraph" w:styleId="af2">
    <w:name w:val="table of figures"/>
    <w:basedOn w:val="a"/>
    <w:unhideWhenUsed/>
    <w:pPr>
      <w:spacing w:after="0" w:line="240" w:lineRule="auto"/>
    </w:pPr>
    <w:rPr>
      <w:rFonts w:ascii="Arial" w:eastAsia="Arial" w:hAnsi="Arial" w:cs="Arial"/>
      <w:sz w:val="24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Arial" w:hAnsi="Arial" w:cs="Arial"/>
      <w:sz w:val="16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New" w:eastAsia="CourierNew" w:hAnsi="CourierNew" w:cs="CourierNew"/>
      <w:sz w:val="20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Arial" w:hAnsi="Arial" w:cs="Arial"/>
      <w:b/>
      <w:sz w:val="16"/>
    </w:rPr>
  </w:style>
  <w:style w:type="paragraph" w:customStyle="1" w:styleId="ConsPlusCell">
    <w:name w:val="ConsPlusCell"/>
    <w:pPr>
      <w:spacing w:after="0" w:line="240" w:lineRule="auto"/>
    </w:pPr>
    <w:rPr>
      <w:rFonts w:ascii="CourierNew" w:eastAsia="CourierNew" w:hAnsi="CourierNew" w:cs="CourierNew"/>
      <w:sz w:val="20"/>
    </w:rPr>
  </w:style>
  <w:style w:type="paragraph" w:customStyle="1" w:styleId="ConsPlusDocList">
    <w:name w:val="ConsPlusDocList"/>
    <w:pPr>
      <w:spacing w:after="0" w:line="240" w:lineRule="auto"/>
    </w:pPr>
    <w:rPr>
      <w:rFonts w:ascii="CourierNew" w:eastAsia="CourierNew" w:hAnsi="CourierNew" w:cs="CourierNew"/>
      <w:sz w:val="16"/>
    </w:rPr>
  </w:style>
  <w:style w:type="paragraph" w:customStyle="1" w:styleId="ConsPlusTitlePage">
    <w:name w:val="ConsPlusTitlePage"/>
    <w:pPr>
      <w:spacing w:after="0" w:line="240" w:lineRule="auto"/>
    </w:pPr>
    <w:rPr>
      <w:rFonts w:ascii="Tahoma" w:eastAsia="Tahoma" w:hAnsi="Tahoma" w:cs="Tahoma"/>
      <w:sz w:val="16"/>
    </w:rPr>
  </w:style>
  <w:style w:type="paragraph" w:customStyle="1" w:styleId="ConsPlusJurTerm">
    <w:name w:val="ConsPlusJurTerm"/>
    <w:pPr>
      <w:spacing w:after="0" w:line="240" w:lineRule="auto"/>
    </w:pPr>
    <w:rPr>
      <w:rFonts w:ascii="Tahoma" w:eastAsia="Tahoma" w:hAnsi="Tahoma" w:cs="Tahoma"/>
      <w:sz w:val="26"/>
    </w:rPr>
  </w:style>
  <w:style w:type="paragraph" w:customStyle="1" w:styleId="ConsPlusTextList">
    <w:name w:val="ConsPlusTextList"/>
    <w:pPr>
      <w:spacing w:after="0" w:line="240" w:lineRule="auto"/>
    </w:pPr>
    <w:rPr>
      <w:rFonts w:ascii="Arial" w:eastAsia="Arial" w:hAnsi="Arial" w:cs="Arial"/>
      <w:sz w:val="20"/>
    </w:rPr>
  </w:style>
  <w:style w:type="paragraph" w:customStyle="1" w:styleId="ConsPlusTextList1">
    <w:name w:val="ConsPlusTextList1"/>
    <w:pPr>
      <w:spacing w:after="0" w:line="240" w:lineRule="auto"/>
    </w:pPr>
    <w:rPr>
      <w:rFonts w:ascii="Arial" w:eastAsia="Arial" w:hAnsi="Arial" w:cs="Arial"/>
      <w:sz w:val="20"/>
    </w:rPr>
  </w:style>
  <w:style w:type="paragraph" w:customStyle="1" w:styleId="ConsNonformat">
    <w:name w:val="Con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spacing w:after="0" w:line="240" w:lineRule="auto"/>
    </w:pPr>
    <w:rPr>
      <w:rFonts w:ascii="CourierNew" w:eastAsia="CourierNew" w:hAnsi="CourierNew" w:cs="CourierNew"/>
      <w:color w:val="000000"/>
      <w:sz w:val="20"/>
    </w:rPr>
  </w:style>
  <w:style w:type="paragraph" w:customStyle="1" w:styleId="ConsNormal">
    <w:name w:val="Con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spacing w:after="0" w:line="240" w:lineRule="auto"/>
      <w:ind w:firstLine="720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365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1739</Words>
  <Characters>9917</Characters>
  <Application>Microsoft Office Word</Application>
  <DocSecurity>0</DocSecurity>
  <Lines>82</Lines>
  <Paragraphs>23</Paragraphs>
  <ScaleCrop>false</ScaleCrop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Старооскольского городского округа Белгородской обл. от 17.01.2023 N 180&amp;amp;amp;amp;quot;Об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</dc:title>
  <dc:creator>Королева Т.С.</dc:creator>
  <cp:lastModifiedBy>Александр Маслов</cp:lastModifiedBy>
  <cp:revision>16</cp:revision>
  <dcterms:created xsi:type="dcterms:W3CDTF">2024-08-26T14:06:00Z</dcterms:created>
  <dcterms:modified xsi:type="dcterms:W3CDTF">2024-08-26T14:07:00Z</dcterms:modified>
</cp:coreProperties>
</file>