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left="0" w:right="0" w:firstLine="4820"/>
        <w:jc w:val="center"/>
        <w:shd w:val="clear" w:color="auto" w:fill="ffffff"/>
        <w:tabs>
          <w:tab w:val="clear" w:pos="720" w:leader="none"/>
          <w:tab w:val="left" w:pos="4536" w:leader="none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56"/>
        <w:ind w:left="0" w:right="0" w:firstLine="4820"/>
        <w:jc w:val="center"/>
        <w:shd w:val="clear" w:color="auto" w:fill="ffffff"/>
        <w:tabs>
          <w:tab w:val="clear" w:pos="720" w:leader="none"/>
          <w:tab w:val="left" w:pos="4536" w:leader="none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постановлением администрации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56"/>
        <w:ind w:left="0" w:right="0" w:firstLine="4820"/>
        <w:jc w:val="center"/>
        <w:shd w:val="clear" w:color="auto" w:fill="ffffff"/>
        <w:tabs>
          <w:tab w:val="clear" w:pos="720" w:leader="none"/>
          <w:tab w:val="left" w:pos="4536" w:leader="none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Губкинского городского округа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56"/>
        <w:ind w:left="0" w:right="0" w:firstLine="4820"/>
        <w:jc w:val="center"/>
        <w:shd w:val="clear" w:color="auto" w:fill="ffffff"/>
        <w:tabs>
          <w:tab w:val="clear" w:pos="720" w:leader="none"/>
          <w:tab w:val="left" w:pos="4536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«29» января 2019 года № 67-па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left="0" w:right="0" w:firstLine="709"/>
        <w:jc w:val="center"/>
        <w:keepNext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С Т А В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ind w:left="0" w:right="0" w:firstLine="709"/>
        <w:jc w:val="center"/>
        <w:keepNext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общества с ограниченной ответственностью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3"/>
        <w:ind w:left="0" w:right="0" w:firstLine="709"/>
        <w:jc w:val="center"/>
        <w:keepNext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«Центральная районная аптека № 74»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firstLine="720"/>
        <w:jc w:val="center"/>
        <w:rPr>
          <w:rFonts w:ascii="Calibri Light" w:hAnsi="Calibri Light" w:cs="Times New Roman"/>
          <w:sz w:val="22"/>
          <w:szCs w:val="22"/>
          <w:lang w:eastAsia="en-US"/>
        </w:rPr>
      </w:pPr>
      <w:r>
        <w:rPr>
          <w:rFonts w:ascii="Calibri Light" w:hAnsi="Calibri Light" w:cs="Times New Roman"/>
          <w:sz w:val="22"/>
          <w:szCs w:val="22"/>
          <w:lang w:eastAsia="en-US"/>
        </w:rPr>
        <w:t xml:space="preserve">Список изменяющих документов</w:t>
      </w:r>
      <w:r>
        <w:rPr>
          <w:rFonts w:ascii="Calibri Light" w:hAnsi="Calibri Light" w:cs="Times New Roman"/>
          <w:sz w:val="22"/>
          <w:szCs w:val="22"/>
          <w:lang w:eastAsia="en-US"/>
        </w:rPr>
      </w:r>
      <w:r>
        <w:rPr>
          <w:rFonts w:ascii="Calibri Light" w:hAnsi="Calibri Light" w:cs="Times New Roman"/>
          <w:sz w:val="22"/>
          <w:szCs w:val="22"/>
          <w:lang w:eastAsia="en-US"/>
        </w:rPr>
      </w:r>
    </w:p>
    <w:p>
      <w:pPr>
        <w:pStyle w:val="856"/>
        <w:ind w:firstLine="720"/>
        <w:jc w:val="center"/>
        <w:rPr>
          <w:rFonts w:cs="Times New Roman"/>
          <w:sz w:val="28"/>
          <w:szCs w:val="28"/>
          <w:lang w:eastAsia="en-US"/>
        </w:rPr>
      </w:pPr>
      <w:r>
        <w:rPr>
          <w:rFonts w:ascii="Calibri Light" w:hAnsi="Calibri Light" w:cs="Times New Roman"/>
          <w:sz w:val="22"/>
          <w:szCs w:val="22"/>
          <w:lang w:eastAsia="en-US"/>
        </w:rPr>
        <w:t xml:space="preserve">(в ред. постановления администрации Губкинского городского округа </w:t>
        <w:br/>
        <w:t xml:space="preserve">от 13.09.2024 г. № 1161-па)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0"/>
        <w:jc w:val="left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0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Губкин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0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2019 год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6"/>
        <w:ind w:left="0" w:right="0" w:firstLine="0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Общие положения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pStyle w:val="856"/>
        <w:ind w:left="0" w:right="0" w:firstLine="709"/>
        <w:jc w:val="both"/>
        <w:tabs>
          <w:tab w:val="clear" w:pos="720" w:leader="none"/>
          <w:tab w:val="left" w:pos="226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1.1. Общество с ограниченной ответственностью «Центральная районна</w:t>
      </w:r>
      <w:r>
        <w:rPr>
          <w:sz w:val="28"/>
          <w:szCs w:val="28"/>
        </w:rPr>
        <w:t xml:space="preserve">я аптека № 74» (далее - Общество) создано в соответствии с федеральными законами от 21 декабря 2001 года № 178-ФЗ «О приватизации государственного и муниципального имущества», от 08 февраля 1998 года № 14-ФЗ «Об обществах с ограниченной ответственностью».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Общество создано путем реорганиза</w:t>
      </w:r>
      <w:r>
        <w:rPr>
          <w:sz w:val="28"/>
          <w:szCs w:val="28"/>
        </w:rPr>
        <w:t xml:space="preserve">ции в форме присоединения к ООО «Центральная районная аптека № 74» ООО «Аптека № 73» и </w:t>
        <w:br/>
        <w:t xml:space="preserve">ООО «Аптека № 131» с переходом к ООО «Центральная районная аптека </w:t>
        <w:br/>
        <w:t xml:space="preserve">№ 74» прав и обязанностей ООО «Аптека № 73» и ООО «Аптека № 131» в соответствии с передаточным актом.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Единственным учредителем Общества является муниципальное образование Губкинский городской округ (далее - Участник). Функции и полномочия Участника осуществляет администрация Губкинского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 Участника: 309189, Белгородская область, года Губкин, ул. Мира д. 16.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Полное фирменное наименование Общества на русском языке: общество с ограниченной ответственностью «Центральная районная аптека </w:t>
        <w:br/>
        <w:t xml:space="preserve">№ 74».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Сокращенное фирменное наименование Общества на русском языке: ООО «ЦРА № 74».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left" w:pos="284" w:leader="none"/>
          <w:tab w:val="clear" w:pos="7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sz w:val="28"/>
          <w:szCs w:val="28"/>
        </w:rPr>
        <w:t xml:space="preserve">Юридический адрес </w:t>
      </w:r>
      <w:r>
        <w:rPr>
          <w:rFonts w:ascii="Times New Roman" w:hAnsi="Times New Roman" w:cs="Times New Roman"/>
          <w:sz w:val="28"/>
          <w:szCs w:val="28"/>
        </w:rPr>
        <w:t xml:space="preserve">Общества: 309186, Белгородская область, </w:t>
        <w:br/>
        <w:t xml:space="preserve">г. Губкин, улица Советская, д. 13.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9"/>
        <w:contextualSpacing/>
        <w:ind w:left="0" w:right="0" w:firstLine="709"/>
        <w:jc w:val="lef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Общество имеет в своем составе следующие обособленные подразделения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9"/>
        <w:contextualSpacing/>
        <w:ind w:left="0" w:right="0" w:firstLine="709"/>
        <w:jc w:val="left"/>
        <w:spacing w:before="0" w:after="0"/>
        <w:suppressLineNumbers w:val="0"/>
      </w:pPr>
      <w:r>
        <w:rPr>
          <w:rFonts w:ascii="Times New Roman" w:hAnsi="Times New Roman"/>
          <w:color w:val="000000"/>
          <w:sz w:val="28"/>
        </w:rPr>
        <w:t xml:space="preserve">- ап</w:t>
      </w:r>
      <w:r>
        <w:rPr>
          <w:rFonts w:ascii="Times New Roman" w:hAnsi="Times New Roman"/>
          <w:color w:val="000000"/>
          <w:sz w:val="28"/>
        </w:rPr>
        <w:t xml:space="preserve">тека № 74 – г. Губкин, ул. Советская, 13;</w:t>
      </w:r>
      <w:r/>
    </w:p>
    <w:p>
      <w:pPr>
        <w:pStyle w:val="879"/>
        <w:ind w:left="0" w:right="0" w:firstLine="709"/>
        <w:jc w:val="both"/>
        <w:spacing w:before="0" w:after="0" w:line="228" w:lineRule="auto"/>
      </w:pPr>
      <w:r>
        <w:rPr>
          <w:rFonts w:ascii="Times New Roman" w:hAnsi="Times New Roman"/>
          <w:color w:val="000000"/>
          <w:sz w:val="28"/>
        </w:rPr>
        <w:t xml:space="preserve">- аптека с. Скородное</w:t>
      </w:r>
      <w:r>
        <w:rPr>
          <w:color w:val="000000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Губкинский р-н, с. Скородное, ул. Гагарина, 7;</w:t>
      </w:r>
      <w:r/>
    </w:p>
    <w:p>
      <w:pPr>
        <w:pStyle w:val="879"/>
        <w:ind w:left="0" w:right="0" w:firstLine="709"/>
        <w:jc w:val="both"/>
        <w:spacing w:before="0" w:after="0" w:line="228" w:lineRule="auto"/>
      </w:pPr>
      <w:r>
        <w:rPr>
          <w:rFonts w:ascii="Times New Roman" w:hAnsi="Times New Roman"/>
          <w:color w:val="000000"/>
          <w:sz w:val="28"/>
        </w:rPr>
        <w:t xml:space="preserve">- аптечный пункт – Губкинский р-н, с. Бобровы Дворы,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ул. Белгородская,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59;                                   </w:t>
      </w:r>
      <w:r/>
    </w:p>
    <w:p>
      <w:pPr>
        <w:pStyle w:val="879"/>
        <w:ind w:left="0" w:right="0" w:firstLine="709"/>
        <w:jc w:val="both"/>
        <w:spacing w:before="0" w:after="0" w:line="228" w:lineRule="auto"/>
      </w:pPr>
      <w:r>
        <w:rPr>
          <w:rFonts w:ascii="Times New Roman" w:hAnsi="Times New Roman"/>
          <w:color w:val="000000"/>
          <w:sz w:val="28"/>
        </w:rPr>
        <w:t xml:space="preserve">- магазин «Оптика» – г. Губкин, ул. Ленина, 6;</w:t>
      </w:r>
      <w:r/>
    </w:p>
    <w:p>
      <w:pPr>
        <w:pStyle w:val="879"/>
        <w:ind w:left="0" w:right="0" w:firstLine="709"/>
        <w:jc w:val="both"/>
        <w:spacing w:before="0" w:after="0" w:line="228" w:lineRule="auto"/>
      </w:pPr>
      <w:r>
        <w:rPr>
          <w:rFonts w:ascii="Times New Roman" w:hAnsi="Times New Roman"/>
          <w:color w:val="000000"/>
          <w:sz w:val="28"/>
        </w:rPr>
        <w:t xml:space="preserve">- аптечный пункт – Губкинский р-н, с. Скородное, ул. Гагарина, 7;</w:t>
      </w:r>
      <w:r/>
    </w:p>
    <w:p>
      <w:pPr>
        <w:pStyle w:val="879"/>
        <w:ind w:left="0" w:right="0" w:firstLine="709"/>
        <w:jc w:val="both"/>
        <w:spacing w:before="0" w:after="0" w:line="228" w:lineRule="auto"/>
      </w:pPr>
      <w:r>
        <w:rPr>
          <w:rFonts w:ascii="Times New Roman" w:hAnsi="Times New Roman"/>
          <w:color w:val="000000"/>
          <w:sz w:val="28"/>
        </w:rPr>
        <w:t xml:space="preserve">- аптечный пункт – г. Губкин, ул. Севастопольская, 101а;</w:t>
      </w:r>
      <w:r/>
    </w:p>
    <w:p>
      <w:pPr>
        <w:pStyle w:val="879"/>
        <w:ind w:left="0" w:right="0" w:firstLine="709"/>
        <w:jc w:val="both"/>
        <w:spacing w:before="0" w:after="0" w:line="228" w:lineRule="auto"/>
      </w:pPr>
      <w:r>
        <w:rPr>
          <w:rFonts w:ascii="Times New Roman" w:hAnsi="Times New Roman"/>
          <w:color w:val="000000"/>
          <w:sz w:val="28"/>
        </w:rPr>
        <w:t xml:space="preserve">- аптечный пункт – Губкинский р-н, п. Троицкий, ул. Молодежная, 3;</w:t>
      </w:r>
      <w:r/>
    </w:p>
    <w:p>
      <w:pPr>
        <w:pStyle w:val="879"/>
        <w:ind w:left="0" w:right="0" w:firstLine="709"/>
        <w:jc w:val="both"/>
        <w:spacing w:before="0" w:after="0" w:line="228" w:lineRule="auto"/>
      </w:pPr>
      <w:r>
        <w:rPr>
          <w:rFonts w:ascii="Times New Roman" w:hAnsi="Times New Roman"/>
          <w:color w:val="000000"/>
          <w:sz w:val="28"/>
        </w:rPr>
        <w:t xml:space="preserve">- аптечный пункт – г. Губкин, ул. Лизы Чайкиной, 9;</w:t>
      </w:r>
      <w:r/>
    </w:p>
    <w:p>
      <w:pPr>
        <w:pStyle w:val="879"/>
        <w:ind w:left="0" w:right="0" w:firstLine="720"/>
        <w:jc w:val="left"/>
      </w:pPr>
      <w:r>
        <w:rPr>
          <w:rFonts w:ascii="Times New Roman" w:hAnsi="Times New Roman"/>
          <w:color w:val="000000"/>
          <w:sz w:val="28"/>
        </w:rPr>
        <w:t xml:space="preserve">- аптечный пункт – г. Губкин, ул. Севастопольская, 115.</w:t>
      </w:r>
      <w:r/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Цель создания и предмет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Основной целью создания Общества является осуществление коммерческой деятельности для извлечения прибыли.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Предметом деятельности Общества является обеспечение юридических лиц и населения лекарственными средствами и предметами медицинского назначения.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Общество осуществляет следующие виды деятельности: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закупка, получение, реализация населению, отпуск</w:t>
      </w:r>
      <w:r>
        <w:rPr>
          <w:rFonts w:ascii="Times New Roman" w:hAnsi="Times New Roman" w:cs="Times New Roman"/>
          <w:sz w:val="28"/>
          <w:szCs w:val="28"/>
        </w:rPr>
        <w:t xml:space="preserve"> лечебно-профилактическим и другим учреждениям готовых лекарственных средств, изделий  медицинского назначения, средств ухода, предметов гигиены и других изделий медицинского назначения, товаров аптечного ассортимента, контроль за их хранением и качеством;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изготовление нестерильных лекарственных форм по рецептам врачей и требований лечебных учреждений, концентратов, полуфабрикатов, внутриаптечной заготовки;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получение, хранение, учет и отпуск этилового спирта, наркотических, сильнодействующих лекарственных средств списков 1, 2 ПККН и их прекурсоров и ядовитых лекарственных средств, находящихся на предметно-количественном учете;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гомеопатических препаратов;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медицинских инструментов;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закупка, изготовление, ремонт и реализация населению корригирующих оправ и других изделий  очковой оптики;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изготовление и фасовка лекарственных препаратов;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средств и препаратов ветеринарного назначения;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препаратов лечебного, детского, диетического питания;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лечебных парфюмерно-косметических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фармацевтической справочно-информационной литературы;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 медико-социальных услуг;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посредническая и коммерческая деятельность;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виды деятельности, не запрещенные федеральными законами, если это не противоречит предмету и целям деятельности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Право Общества осуществлять деятельность, на которую в соответствии с законодатель</w:t>
      </w:r>
      <w:r>
        <w:rPr>
          <w:rFonts w:ascii="Times New Roman" w:hAnsi="Times New Roman" w:cs="Times New Roman"/>
          <w:sz w:val="28"/>
          <w:szCs w:val="28"/>
        </w:rPr>
        <w:t xml:space="preserve">ством Российской Федерации требуется специальное разрешение (лицензия), возникает у Общества с момента его получения или в указанный в нем срок и прекращается по истечении срока его действия, если иное не установлено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Юридический статус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contextualSpacing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.1. Общество руководствуется в своей деятельности Гражданским кодексом Российской Федерации, федеральными законами от 08 февраля 1998 года № 14-ФЗ «Об обществах с ограниченной ответственностью», от</w:t>
      </w:r>
      <w:r>
        <w:rPr>
          <w:rFonts w:ascii="Times New Roman" w:hAnsi="Times New Roman" w:cs="Times New Roman"/>
          <w:color w:val="3737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 апреля 2010 года № 61-ФЗ</w:t>
      </w:r>
      <w:r>
        <w:rPr>
          <w:rFonts w:ascii="Times New Roman" w:hAnsi="Times New Roman" w:cs="Times New Roman"/>
          <w:sz w:val="28"/>
          <w:szCs w:val="28"/>
        </w:rPr>
        <w:t xml:space="preserve"> «Об обращении лекарственных средств» и настоящим Уставом.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contextualSpacing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  <w:t xml:space="preserve">3.2. Общество является правопреемником ООО «Аптека № 73» и </w:t>
        <w:br/>
        <w:t xml:space="preserve">ООО «Аптека № 131» в соответствии с передаточным актом.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6"/>
        <w:contextualSpacing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3.3. Общество обладает правами юридического лица с мом</w:t>
      </w:r>
      <w:r>
        <w:rPr>
          <w:rFonts w:ascii="Times New Roman" w:hAnsi="Times New Roman" w:cs="Times New Roman"/>
          <w:sz w:val="28"/>
          <w:szCs w:val="28"/>
        </w:rPr>
        <w:t xml:space="preserve">ента его государственной рег</w:t>
      </w:r>
      <w:r>
        <w:rPr>
          <w:rFonts w:ascii="Times New Roman" w:hAnsi="Times New Roman" w:cs="Times New Roman"/>
          <w:sz w:val="28"/>
          <w:szCs w:val="28"/>
        </w:rPr>
        <w:t xml:space="preserve">истрации в установленном порядке, имеет расчетный и иные счета в учреждениях банков, печать и штамп со своим наименованием и указанием места нахождения Общества, бланки установленного образца, товарный знак и знаки обслуживания.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5"/>
        <w:contextualSpacing/>
        <w:ind w:left="0" w:right="0" w:firstLine="709"/>
        <w:jc w:val="both"/>
        <w:spacing w:before="0" w:after="0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3.4. Общество имеет в собственности обособл</w:t>
      </w:r>
      <w:r>
        <w:rPr>
          <w:sz w:val="28"/>
          <w:szCs w:val="28"/>
        </w:rPr>
        <w:t xml:space="preserve">енное имущество и отвечает по своим обязательствам всем принадлежащим ему имуществом, может от своего имени </w:t>
      </w:r>
      <w:r>
        <w:rPr>
          <w:sz w:val="28"/>
          <w:szCs w:val="28"/>
        </w:rPr>
        <w:t xml:space="preserve">совершать сделки, приобретать и осуществлять имущественные и личные неимущественные права, выступать истцом или ответчиком в суде, арбитражном суде.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5"/>
        <w:contextualSpacing/>
        <w:ind w:left="0" w:right="0" w:firstLine="709"/>
        <w:jc w:val="both"/>
        <w:spacing w:before="0" w:after="0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3.5. Общество имеет гражданские права и несет гражданские обязанности, необходимые для осуществления любых видов деятельности, не запрещенных федеральными законами, в соответствии с целью и предметом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5"/>
        <w:contextualSpacing/>
        <w:ind w:left="0" w:right="0" w:firstLine="709"/>
        <w:jc w:val="both"/>
        <w:spacing w:before="0" w:after="0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3.6. Общество не отвечает по обязательствам Участника.</w:t>
      </w:r>
      <w:r>
        <w:rPr>
          <w:sz w:val="28"/>
          <w:szCs w:val="28"/>
        </w:rPr>
      </w:r>
      <w:r/>
    </w:p>
    <w:p>
      <w:pPr>
        <w:pStyle w:val="856"/>
        <w:contextualSpacing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  <w:suppressLineNumbers w:val="0"/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Филиалы и представительства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Общество может создавать филиалы и открывать представительства с соблюдением требований действующего законодательства и настоящего Устава.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Филиал и представительство Общества не являются юридическими лицами и действуют на основании утвержденных Обществом положений.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Руководители филиалов и представительств Общества назначаются директором Общества и действуют на основании его доверенности.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Филиалы и представительства Общества осуществляют свою деятельность от имени Общества, которое несет ответственность за их деятельность.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Уставный капитал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Уставный капитал Общества составляет стоимость чистых активов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Уставный капитал Общества определяет минимальный размер его имущества, гарантирующего интересы его кредиторов.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Участник определяет уставный капитал Общества в размере 14790000 (четырнадцать миллионов семьсот девяносто тысяч)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Не допускается освобождение Участника Общества от обязанности оплатить долю в уставном капитале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На момент регистрации Общества уставный капитал оплачен в размере 100%.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6"/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Изменения уставного капитала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Увеличение уставного капитала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6.1.1. Увеличение уставного капитала Общества допускается только после его полной оплаты.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6.1.2. Участник вправе принять решение об увеличении уставного капитала за счет: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имущества Общества. Это решение принимается на основании данных бухгалтерской отчетности Общества за год, предшествующий году, в течение которого принято такое решение;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внесения им дополнительного вклада;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основании заявления третьего лица о приеме его в Общество и внесении вклада.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6.1.3. Заявление о государственной регистрации изменений, вносимых в устав общества в связи с увеличением уставного капитала Общества, должно быть подписано директором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6.1.4. Заявление и иные документы для государственной регис</w:t>
      </w:r>
      <w:r>
        <w:rPr>
          <w:rFonts w:ascii="Times New Roman" w:hAnsi="Times New Roman" w:cs="Times New Roman"/>
          <w:sz w:val="28"/>
          <w:szCs w:val="28"/>
        </w:rPr>
        <w:t xml:space="preserve">трации предусмотренных действующим законодательством изменений в связи с увеличением уставного капитала Общества должны быть представлены в орган, осуществляющий государственную регистрацию юридических лиц, в течение месяца со дня принятия такого решения.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6.1.5. В случае несоблюдения сроков, предусмотренных действующим законодательством, увеличение уставного капитала Общества признается несостоявшимся.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Уменьшение уставного капитала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6.2.1. Общество вправе, а в случаях, когда по окончании второго или каждого последующего финансового года стоимость чистых активов Общества окажется меньше уставного капитала, обязано объявить об уменьшении своего уставного капитала.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стоимость указанных активов Общества становится меньше определенного законом минимального размера уставного капитала, Общество подлежит ликвидации.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6.2.2. Общество не вправе уменьшать свой уставный капитал, если в результате такого уменьшения его размер станет меньше минимального размера уставного капитала.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6.2.3. В течение трех рабочих дней после принятия решения об уменьшении уставного капитала Общество обязано сообщить о таком решении в </w:t>
      </w:r>
      <w:hyperlink r:id="rId9" w:tooltip="consultantplus://offline/ref=DC8A31F65F161539C1F218F431AFD7FAD85327B58E294FFC3142CE79909A7478E945AB3FE105C2E81Fi2K" w:history="1">
        <w:r>
          <w:rPr>
            <w:rFonts w:ascii="Times New Roman" w:hAnsi="Times New Roman" w:cs="Times New Roman"/>
            <w:sz w:val="28"/>
            <w:szCs w:val="28"/>
          </w:rPr>
          <w:t xml:space="preserve">орган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осуществляющий государственную регистрацию юридических лиц, и дважды с периодичностью один раз в месяц опубликовать в </w:t>
      </w:r>
      <w:hyperlink r:id="rId10" w:tooltip="consultantplus://offline/ref=DC8A31F65F161539C1F218F431AFD7FADF5020B1822612F6391BC27B97952B6FEE0CA73EE105C21EiCK" w:history="1">
        <w:r>
          <w:rPr>
            <w:rFonts w:ascii="Times New Roman" w:hAnsi="Times New Roman" w:cs="Times New Roman"/>
            <w:sz w:val="28"/>
            <w:szCs w:val="28"/>
          </w:rPr>
          <w:t xml:space="preserve">органе печати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в котором публикуются данные о государственной регистрации юридических лиц, уведомление об уменьшении его уставного капитала.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6.2.4. Кредитор Общества, если его права требования возникли до опубликования уведомлени</w:t>
      </w:r>
      <w:r>
        <w:rPr>
          <w:rFonts w:ascii="Times New Roman" w:hAnsi="Times New Roman" w:cs="Times New Roman"/>
          <w:sz w:val="28"/>
          <w:szCs w:val="28"/>
        </w:rPr>
        <w:t xml:space="preserve">я об уменьшении уставного капитала Общества, не позднее чем в течение тридцати дней с даты последнего опубликования такого уведомления вправе потребовать от Общества досрочного исполнения соответствующего обязательства, а при невозможности досрочного испол</w:t>
      </w:r>
      <w:r>
        <w:rPr>
          <w:rFonts w:ascii="Times New Roman" w:hAnsi="Times New Roman" w:cs="Times New Roman"/>
          <w:sz w:val="28"/>
          <w:szCs w:val="28"/>
        </w:rPr>
        <w:t xml:space="preserve">нения такого обязательства его прекращения и возмещения связанных с этим убытков. Срок исковой давности для обращения в суд с данным требованием составляет шесть месяцев со дня последнего опубликования уведомления об уменьшении уставного капитала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6.2.5. Суд вправе отказать в удовлетворении требования кредитора в случае, если Общество докажет, что: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результате уменьшения его уставного капитала права кредиторов не нарушаются;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предоставленное обеспечение является достаточным для надлежащего исполнения соответствующего обязательства.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Права и обязанности Участника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Участник имеет право: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участвовать в управлении делами Общества в порядке, установленном настоящим Уставом и действующим законодательством РФ;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получать информацию по всем вопросам, касающимся деятельности Общества;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знакомиться с бухгалтерскими книгами, иными документами Общества в установленном настоящим Уставом порядке;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принимать участие в распределении прибыли от деятельности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продать или осуществить отчуждение иным образом своей доли или части доли в уставном капитале Общества другому лицу в порядке, предусмотренном настоящим Уставом и действующим законодательством;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получить в случае ликвидации Общества часть имущества, оставшегося после расчетов с кредиторами, или его стоимость;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пользоваться иными правами, предоставляемыми участникам общества с ограниченной ответственностью законодательством РФ.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Участник может принять решение о наделении себя дополнительными правами. Прекращение или ограничение дополнительных прав осуществляется по решению участника.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Участник обязан: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оплачивать долю в уставном капитале Общества в порядке, в размерах и в сроки, предусмотренные законодательством, а также договором об учреждении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соблюдать требования Устава;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разглашать конфиденциальную информацию о деятельности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выполнять принятые на себя обязательства по отношению к Обществу;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предоставлять Обществу информацию, необходимую для его успешной деятельности, и оказывать любое содействие Обществу в достижении его уставных целей.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Участник может принять на себя дополнительные обязанности.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Выход единственного Участника Общества из Общества не допускается.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Порядок перехода доли (части доли) участника Общества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уставном капитале Общества к другому лицу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третьим лицам.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Переход доли или части доли в уставном капитале Общества к третьим лицам осуществляется на основании сделки, в порядке правопреемства или на ином законном основании.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В соответствии с пунктом 7 статьи 37 Федерального закона от 21 декабря 2001 года № 178-ФЗ «О приватизации государственного и муниципального имущества» Общество не имеет преимущественного права покупки доли, продаваемой его Участником Общества.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Продажа либо отчуждение иным образом доли или части доли в уставном капитале Общества третьим лицам допускается с соблюдением требований, предусмотренных действующим законодательством Российской Федерации и Уставом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8.5. Доля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частника общества может быть отчуждена до полной ее оплаты только в части, в которой она оплачена.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При намерении продажи своей доли или части доли третьему лицу, Участник обязан известить в письменной форме об этом Общество путем направления за свой счет оферты.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8.7. Доля или часть доли в уставном капитале Общества переходит к ее приобретателю с момента нотариального удостоверения сделки, направленной на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тчуждение доли или части доли в уставном капитале Общества, либо в случаях, не требующих нотариального удостоверения, с момента внесения в единый государственный реестр юридических лиц соответствующих изменений на основании правоустанавливающих документов.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 Управление Обществом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Решения по вопросам, относящимся в соответствии с законодательством РФ к компетенции Общего собрания Участников, единолично принимаются участником и оформляются письменно.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К исключительной компетенции Участника относятся: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определение основных направлений деятельности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создание филиалов и открытие представительств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изменение Устава Общества, в том числе изменение размера уставного капитала Общества, утверждение новой редакции Устава;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решения об участии в ассоциациях и других объединениях коммерческих организаций;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назначение директора Общества и досрочное прекращение его полномочий, а также принятие решения о передаче полномочий единоличного исполнительного органа Общества управляющему, утверждение такого управляющего и условий договора с ним;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установление размера вознаграждения и денежных компенсаций директора Общества, членам коллегиального исполнительного органа общества, управляющему;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назначение ревизионной комиссии (ревизора) Общества и досрочное прекращение ее полномочий;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назначение аудиторской проверки, утверждение аудитора и установление размера оплаты его услуг;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утверждение годовых отчетов и годовых бухгалтерских балансов;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утверждение или принятие документов, регулирующих организацию деятельности общества (внутренних документов общества);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решения о распределении чистой прибыли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решения о размещении Обществом облигаций и иных эмиссионных ценных бумаг;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решения о реорганизации или ликвидации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назначение ликвидационной комиссии и утверждение ликвидационных балансов;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решение вопросов об одобрении сделок, в совершении которых имеется заинтересованность, согласно статье 45 Федерального закона «Об обществах с ограниченной ответственностью», а также решение об одобрении крупной сделки согласно статье 46 указанного закона;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Участнику дополнительных прав или возложение на участника дополнительных обязанностей;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прекращение или ограничение дополнительных прав, предоставленных Участнику, а также прекращение дополнительных обязанностей, возложенных на Участника.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9.3. Решение вопросов, отнесенных к исключительной компетенции Участника, не может быть отнесено Уставом Общества к компетенции иных органов управления Обществом.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 Директор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9.4.1. В качестве единоличного исполнительного органа Общества может выступать только физическое лицо, за исключением передачи полномочий по договору управляющему.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9.4.2. Единоличным исполнительным органом Общества является директор.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9.4.3. Договор с директором от имени Общества подписывается Участником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9.4.4. Назначение и увольнение главного бухгалтера, руководителей филиалов и представительств, а также иных лиц осуществляются директором или иным уполномоченным лицом, его замещающим.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9.4.5. Директор руководит текущей деятельностью Общества и решает вопросы, которые не отнесены настоящим Уставом и законом к компетенции единственного Участника Общества: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без доверенности действует от имени Общества, в том числе представляет его интересы и совершает сделки;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выдает доверенности на право представительства от имени Общества, в том числе доверенности с правом передоверия;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издает приказы о назначении на должности работников Общества, об их переводе и увольнении, применяет меры поощрения и налагает дисциплинарные взыскания;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рассматривает текущие и перспективные планы работ;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обеспечивает выполнение планов деятельности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утверждает правила, процедуры и другие внутренние документы Общества, за исключением документов, утверждение которых отнесено настоящим Уставом к компетенции Участника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определяет организационную структуру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обеспечивает выполнение решений Участника;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утверждает штатные расписания Общества, филиалов и представительств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принимает на работу и увольняет с работы сотрудников;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порядке, установленном законодательством РФ и настоящим Уставом, поощряет работников Общества, а также налагает на них взыскания;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подготавливает материалы, проекты и предложения по вопросам, выносимым на рассмотрение Участника;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распоряжается имуществом Общества в пределах, установленных Участником, настоящим Уставом и действующим законодательством;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открывает расчетный, валютный и другие счета Общества в банках, заключает договоры и совершает иные сделки;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утверждает договорные тарифы на услуги и цены на продукцию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организует бухгалтерский учет и отчетность;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представляет на утверждение Участника годовой отчет и баланс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принимает решения по другим вопросам, связанным с текущей деятельностью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9.4.6. Директор обязан в своей деятельности соблюдать требования действующего законодател</w:t>
      </w:r>
      <w:r>
        <w:rPr>
          <w:rFonts w:ascii="Times New Roman" w:hAnsi="Times New Roman" w:cs="Times New Roman"/>
          <w:sz w:val="28"/>
          <w:szCs w:val="28"/>
        </w:rPr>
        <w:t xml:space="preserve">ьства РФ, руководствоваться требованиями настоящего Устава, решениями единственного Участника Общества, принятыми в рамках его компетенции, а также заключенными Обществом договорами и соглашениями, в том числе заключенными с Обществом трудовыми договорами.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10. Контроль за деятельностью Общества.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Ревизор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5"/>
        <w:ind w:left="0" w:right="0" w:firstLine="709"/>
        <w:jc w:val="bot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 В случае если в Обществе количество Участников становится более 15, то избрание (назначение) ревизора является обязательным.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5"/>
        <w:ind w:left="0" w:right="0" w:firstLine="709"/>
        <w:jc w:val="bot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Ревизор вправе в любое время проводить проверки финансово-хозяйственной деятельности Общества и иметь доступ ко всей документации, касающейся деятельности Общества.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5"/>
        <w:ind w:left="0" w:right="0" w:firstLine="709"/>
        <w:jc w:val="bot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требованию ревизора директор, а также работники Общества обязаны давать необходимые пояснения в устной или письменной форме.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5"/>
        <w:ind w:left="0" w:right="0" w:firstLine="709"/>
        <w:jc w:val="bot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Ревизор в обязательном порядке проводит проверку годовых отчетов и бухгалтерских балансов Общества до их утверждения Собранием. Собрание не вправе утверждать годовые отчеты и бухгалтерские балансы Общества при отсутствии заключений ревизора.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10.3. Расходы членов ревизионной комиссии (ревизора), помощников ревизоров и другого вспомогательного персонала, а также расходы по их вознаграждению или по оплате услуг аудитора несет Общество.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Имущество и фонды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11.1. Источником формирования имущества Общества являются: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вклад Участника Общества;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доходы, полученные Обществом от реализации продукции, работ, услуг, ценных бумаг, а также от других видов хозяйственной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безвозмездные или благотворительные взносы, пожертвования российских, иностранных и юридических лиц;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источники, не запрещенные законодательством РФ.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 Общество обладает правами владения, пользования и распоряжения принадлежащим ему на праве собственности имуществом.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 использует указанные права по своему усмотрению.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Права Общества в отношении имущества, переданного ему Участником в пользование, определяются в соответствии с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В Обществе создается резервный фонд в размере 15% уставного капитала. Резервный фонд Общества формируется путем обязательных ежегодных отчислений не менее 5% от чистой прибыли до достижения размера 15% от уставного капитала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Резервный фонд Общества предназначен для покрытия его убытков, а также для иных целей в случае отсутствия иных средств.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</w:rPr>
      </w:pPr>
      <w:r>
        <w:rPr>
          <w:sz w:val="28"/>
        </w:rPr>
        <w:t xml:space="preserve">11.4.1. В Обществе создаются следующие фонды специального назначения:</w:t>
      </w:r>
      <w:r>
        <w:rPr>
          <w:sz w:val="28"/>
        </w:rPr>
      </w:r>
      <w:r>
        <w:rPr>
          <w:sz w:val="28"/>
        </w:rPr>
      </w:r>
    </w:p>
    <w:p>
      <w:pPr>
        <w:pStyle w:val="856"/>
        <w:ind w:left="0" w:right="0" w:firstLine="709"/>
        <w:jc w:val="both"/>
        <w:tabs>
          <w:tab w:val="left" w:pos="720" w:leader="none"/>
          <w:tab w:val="left" w:pos="1260" w:leader="none"/>
        </w:tabs>
        <w:rPr>
          <w:sz w:val="28"/>
        </w:rPr>
      </w:pPr>
      <w:r>
        <w:rPr>
          <w:sz w:val="28"/>
        </w:rPr>
        <w:t xml:space="preserve">- фонд накопления для развития материально-технической базы Общества;</w:t>
      </w:r>
      <w:r>
        <w:rPr>
          <w:sz w:val="28"/>
        </w:rPr>
      </w:r>
      <w:r>
        <w:rPr>
          <w:sz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- фонд потребления для оказания материальной помощи работникам, выплаты премий и иных выплат социального характера</w:t>
      </w:r>
      <w:r>
        <w:rPr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11.5. Общество вправе размещать облигации и иные эмиссионные ценные бумаги в порядке, установленном законодательством о ценных бумагах.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 облигаций Обществом допускается после полной оплаты уставного капитала.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11.6. Общество может размещать облигации на сумму, не превышающую размера уставного капитала или величину обеспечения, представленного Обществу для этих целей третьими лицами.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12. Распределение прибыли Общества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tabs>
          <w:tab w:val="left" w:pos="488" w:leader="none"/>
          <w:tab w:val="clear" w:pos="720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12.1. Общество ежеквартально принимает решение о распределении чистой прибыли.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12.2. Чистая прибыль общества распределяется следующим способом: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 xml:space="preserve">35 % от чистой прибыли Общества подлежит перечислению в бюджет Губкинского городского округа;</w:t>
      </w:r>
      <w:r>
        <w:rPr>
          <w:sz w:val="28"/>
        </w:rPr>
      </w:r>
      <w:r>
        <w:rPr>
          <w:sz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</w:rPr>
        <w:t xml:space="preserve">- 5% </w:t>
      </w:r>
      <w:r>
        <w:rPr>
          <w:sz w:val="28"/>
          <w:szCs w:val="28"/>
        </w:rPr>
        <w:t xml:space="preserve">от чистой прибыли Общества направляется на формирование резервного фонда до достижения размера 15% от уставного капитала Общества;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- 30% от чистой прибыли Общества направляется на формирование фонда накопления;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- 30 % от чистой прибыли Общества направляется на формирование фонда потребления.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12.3. Общество не вправе принимать решение о распределении прибыли: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 полной оплаты всего уставного капитала;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если на момент принятия такого решения Общество отвечает признакам несостоятельности (банкротства) в соответствии с Федеральным законом о несостоятельности (банкротстве) или если указанные признаки проявятся у Общества в результате принятия такого решения;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center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иных случаях, предусмотренных действующим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12.4. Общество не вправе выплачивать прибыль, решение о распределении которой принято, если: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момент выплаты Общество отвечает признакам несостоятельности (банкротство) в соответствии с Федеральным законом о несостоятельности (банкротстве) или если указанные признаки проявятся у Общества в результате принятия такого решения;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момент выплаты стоимость чистых активов Общества меньше его уставного капитала и резервного фонда или станет меньше их размера в результате выплаты;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иных случаях, предусмотренных действующим законодательством РФ.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прекращении указанных в настоящем пункте обстоятельств Общество обязано выплатить Участнику прибыль, решение о распределении которой принято.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left="0" w:right="0" w:firstLine="709"/>
        <w:jc w:val="both"/>
        <w:tabs>
          <w:tab w:val="left" w:pos="488" w:leader="none"/>
          <w:tab w:val="clear" w:pos="7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12.5. Срок выплаты части распределенной прибыли составляет 30 календарных дней со дня принятия решения о распределении прибыли.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13. Заинтересованность в совершении Обществом сделки.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Крупные сделки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13.1. Заинтересованность в совершении Обществом сделки.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13.1.1. Сделки (в том числе заем, кредит,</w:t>
      </w:r>
      <w:r>
        <w:rPr>
          <w:rFonts w:ascii="Times New Roman" w:hAnsi="Times New Roman" w:cs="Times New Roman"/>
          <w:sz w:val="28"/>
          <w:szCs w:val="28"/>
        </w:rPr>
        <w:t xml:space="preserve"> залог, поручительство), в совершении которых имеется заинтересованность директора или Участника Общества, а также лица, имеющего право давать Обществу обязательные для него указания, совершаются Обществом в соответствии с действующим законодательством РФ.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13.1.2. Указанные лица признаются заинтересованными в совершении обществом сделки в случаях, если они, их супруги, родители, дети, полнородные и неполнородные братья и сестры, усыновители и усыновленные и (или) их аффилированные лица: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являются стороной сделки или выступают в интересах третьих лиц в их отношениях с обществом;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владеют (каждый в отдельности или в совокупности) двадцатью и более процентами акций (долей, паев) юридического лица, являющегося стороной сделки или выступающего в интересах третьих лиц в их отношениях с обществом;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занимают должности в органах управления юридического лица, являющегося стороной сделки или выступающего в интересах третьих лиц в их отношениях с обществом, а также должности в органах управления управляющей организации такого юридического лица.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13.1.3. Лица, признанные заинтересованными в совершении обществом сделки, должны доводить до сведения общего собрания участников общества информацию: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о юридических лицах, в которых они, их супруги, родители, дети, полнородные и неполнородные братья и сестры, усыновители и усыновленные и (или) их аффилированные лица владеют двадцатью и более процентами акций (долей, паев);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о юридических лицах, в которых они, их супруги, родители, дети, полнородные и неполнородные братья и сестры, усыновители и усыновленные и (или) их аффилированные лица занимают должности в органах управления;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- об известных им совершаемых или предполагаемых сделках, в совершении которых они могут быть признаны заинтересованными.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13.1.4. Сделка, в совершении которой имеется заинтересованность, должна быть одобрена Участником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13.1.5. В решении об одобрении сделки должны быть указаны лицо или лица, являющиеся сторонами, выгодоприобретателями в сделке, цена, предмет сделки и иные ее существенные условия.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13.1.6. Участник общества может принять решение об одобрении сделки, в совершении которой имеется за</w:t>
      </w:r>
      <w:r>
        <w:rPr>
          <w:rFonts w:ascii="Times New Roman" w:hAnsi="Times New Roman" w:cs="Times New Roman"/>
          <w:sz w:val="28"/>
          <w:szCs w:val="28"/>
        </w:rPr>
        <w:t xml:space="preserve">интересованность и которая может быть совершена в будущем в процессе осуществления обществом его обычной хозяйственной деятельности. При этом в решении об одобрении сделки должна быть указана предельная сумма, на которую может быть совершена такая сделка.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13.1.7. Сделка, в совершении которой имеется заинтересованность, не требует одобрения Участника общества в случае, если условия такой сделки существенно не отличаются от условий аналогичных сдел</w:t>
      </w:r>
      <w:r>
        <w:rPr>
          <w:rFonts w:ascii="Times New Roman" w:hAnsi="Times New Roman" w:cs="Times New Roman"/>
          <w:sz w:val="28"/>
          <w:szCs w:val="28"/>
        </w:rPr>
        <w:t xml:space="preserve">ок (в том числе займа, кредита, залога, поручительства), совершенных между обществом и заинтересованным лицом в процессе осуществления обычной хозяйственной деятельности общества, имевшей место до момента, когда заинтересованное лицо было признано таковым.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13.1.8. Сделка, в совершении которой имеется заинтересованность и которая совершена с нарушением предусмотренных статьей </w:t>
      </w:r>
      <w:hyperlink r:id="rId11" w:tooltip="consultantplus://offline/main?base=LAW;n=116585;fld=134;dst=100365" w:history="1">
        <w:r>
          <w:rPr>
            <w:rFonts w:ascii="Times New Roman" w:hAnsi="Times New Roman" w:cs="Times New Roman"/>
            <w:sz w:val="28"/>
            <w:szCs w:val="28"/>
          </w:rPr>
          <w:t xml:space="preserve">45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обществах с ограниченной ответственностью» требований к ней, может быть признана недействительной по иску общества или его Участника.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13.1.9. Положения данного раздела не применяются к сделкам, совершение которых обязательно для общества в соответствии с федеральными законами и (или) иными правовыми актами Российской Феде</w:t>
      </w:r>
      <w:r>
        <w:rPr>
          <w:rFonts w:ascii="Times New Roman" w:hAnsi="Times New Roman" w:cs="Times New Roman"/>
          <w:sz w:val="28"/>
          <w:szCs w:val="28"/>
        </w:rPr>
        <w:t xml:space="preserve">рации и расчеты по которым производятся по ценам, определенным в порядке, установленном Правительством Российской Федерации, или по ценам и тарифам, установленным уполномоченным Правительством Российской Федерации федеральным органом исполнительной власти.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13.1.10. Лицо признается аффилированным в соответствии с требованиями </w:t>
      </w:r>
      <w:hyperlink r:id="rId12" w:tooltip="consultantplus://offline/ref=64AF406687F41B8ED1A4382B340E027C2028D9AD8F0D47054CE3C3A33FB8289814EFA6A48A2D2CLBA9H" w:history="1">
        <w:r>
          <w:rPr>
            <w:rFonts w:ascii="Times New Roman" w:hAnsi="Times New Roman" w:cs="Times New Roman"/>
            <w:sz w:val="28"/>
            <w:szCs w:val="28"/>
          </w:rPr>
          <w:t xml:space="preserve">законодательства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13.2. Крупные сделки.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13.2.1. Крупной сделкой является сделка (в том числе заем, кредит, залог, поручительство) или несколько взаимосвязанных сделок, связанных с приобретением, отчуждением или возможностью отчуждения обществом прямо либо косвенн</w:t>
      </w:r>
      <w:r>
        <w:rPr>
          <w:rFonts w:ascii="Times New Roman" w:hAnsi="Times New Roman" w:cs="Times New Roman"/>
          <w:sz w:val="28"/>
          <w:szCs w:val="28"/>
        </w:rPr>
        <w:t xml:space="preserve">о имущества, стоимость которого составляет двадцать пять и более процентов стоимости имущества Общества, определенной на основании данных бухгалтерской отчетности за последний отчетный период, предшествующий дню принятия решения о совершении таких сделок.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Крупными сделками не признаются сделки, совершаемые в процессе обычной хозяйственной деятельности общества, а также сделки, совершение которых обязательно для общества в соответствии с федеральными законами и (или) иными правовыми актами Российской Феде</w:t>
      </w:r>
      <w:r>
        <w:rPr>
          <w:rFonts w:ascii="Times New Roman" w:hAnsi="Times New Roman" w:cs="Times New Roman"/>
          <w:sz w:val="28"/>
          <w:szCs w:val="28"/>
        </w:rPr>
        <w:t xml:space="preserve">рации и расчеты по которым производятся по ценам, определенным в порядке, установленном Правительством Российской Федерации, или по ценам и тарифам, установленным уполномоченным Правительством Российской Федерации федеральным органом исполнительной власти.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13.2.2. Стоимость отчуждаемого обществом в результате крупной сделки имущества определяется на основании данных его бухгалтерского учета, а стоимость приобретаемого обществом имущества - на основании цены предложения.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13.2.3. Решение об одобрении крупной сделки принимается Участником.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В решении об одобрении крупной сделки должны быть указаны лица, являющиеся сторонами, выгодоприобретателями в сделке, цена, предмет сделки и иные ее существенные услов</w:t>
      </w:r>
      <w:r>
        <w:rPr>
          <w:rFonts w:ascii="Times New Roman" w:hAnsi="Times New Roman" w:cs="Times New Roman"/>
          <w:sz w:val="28"/>
          <w:szCs w:val="28"/>
        </w:rPr>
        <w:t xml:space="preserve">ия. В решении могут не указываться лица, являющиеся сторонами, выгодоприобретателями в сделке, если сделка подлежит заключению на торгах, а также в иных случаях, если стороны, выгодоприобретатели не могут быть определены к моменту одобрения крупной сделки.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widowControl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13.2.4. Крупная сделка, совершенная с нарушением предусмотренных статьей 46 Федерального закона «Об обществах с ограниченной ответственностью» требований к ней, может быть признана недействительной по иску общества или его Участника.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14. Хранение документов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tabs>
          <w:tab w:val="clear" w:pos="720" w:leader="none"/>
          <w:tab w:val="left" w:pos="2268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14.1. Общество обязано хранить следующие документы: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решение об учреждении Общества, Устав общества, а также внесенные в устав Общества и зарегистрированные в установленном порядке изменения;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документ, подтверждающий государственную регистрацию Общества;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документы, подтверждающие права Общества на имущество, находящееся на его балансе;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внутренние документы Общества;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положения о филиалах и представительствах Общества;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документы, связанные с эмиссией облигаций и иных эмиссионных ценных бумаг Общества;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решения Участника Общества и ревизионной комиссии Общества;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списки аффилированных лиц Общества;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заключения ревизионной комиссии (ревизора) Общества, аудитора, государственных и муниципальных органов финансового контроля;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документы, предусмотренные федеральными законами и иными правовыми актами Российской Федерации и внутренними документами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 Указанные документы хранятся в офисе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15. Реорганизация и ликвидация Общества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6"/>
        <w:ind w:left="0" w:right="0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15.1. Реорганизация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15.1.1. Реорганизация Общества осуществляется в порядке, определяемом действующим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15.1.2. Реорганизация Общества может быть осуществлена в форме слияния, присоединения, разделения, выделения и преобразования.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15.1.3. Общество считается реорганизованным, за исключением случаев реорганизации в форме присоединения, с момента государственной регистрации.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15.1.5. Общество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</w:t>
      </w:r>
      <w:hyperlink r:id="rId13" w:tooltip="consultantplus://offline/ref=DC8A31F65F161539C1F218F431AFD7FADF5020B1822612F6391BC27B97952B6FEE0CA73EE105C21EiCK" w:history="1">
        <w:r>
          <w:rPr>
            <w:rFonts w:ascii="Times New Roman" w:hAnsi="Times New Roman" w:cs="Times New Roman"/>
            <w:sz w:val="28"/>
            <w:szCs w:val="28"/>
          </w:rPr>
          <w:t xml:space="preserve">средствах массовой информации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в которых опубликовываются данные о государственной регистрации юридических лиц, сообщение о его реорганизации.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15.1.6. Кредиторы Общества не позднее чем в течение тридцати дней с даты последнего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сообщения о реорганизации Общества вправе потребовать в письменной форме досрочного исполнения соответствующего обязательства должником, а при невозможности досрочного исполнения такого обязательства - его прекращения и возмещения связанных с этим убытков.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numPr>
          <w:ilvl w:val="0"/>
          <w:numId w:val="0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15.2. Ликвидация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15.2.1. Общество может быть ликвидировано добровольно в порядке, установленном Гражданским кодексом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Федерации, с учетом требований Федерального закона от 08 февраля 1998 года № 14-ФЗ «Об обществах с ограниченной ответственностью» и настоящего Устава. Общество может быть ликвидировано также по решению суда по основаниям, предусмотренным Гражданским </w:t>
      </w:r>
      <w:hyperlink r:id="rId14" w:tooltip="consultantplus://offline/ref=DC8A31F65F161539C1F218F431AFD7FAD85321B88E2E4FFC3142CE79909A7478E945AB3FE105C1EE1Fi3K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15.2.2. Ликвидация Общества влечет за собой его прекращение без перехода прав и обязанностей в порядке правопреемства к другим лицам.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15.2.3. Решение о добровольной ликвидации Общества и назначении ликвидационной комиссии принимается Участником по предложению директора.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15.2.4. С момента назначения ликвидационной комиссии к ней переходят все полномочия по управлению делами Общества. Ликвидационная комиссия от имени ликвидируемого Общества выступает в суде.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15.2.5. Порядок ликвидации Общества определяется Гражданским </w:t>
      </w:r>
      <w:hyperlink r:id="rId15" w:tooltip="consultantplus://offline/ref=DC8A31F65F161539C1F218F431AFD7FAD85321B88E2E4FFC3142CE79909A7478E945AB3FE105C1EF1Fi3K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другими федеральными законами.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15.2.6. Оставшееся после завершения расчетов с кредиторами имущество Общества переходит к Участнику.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15.2.7. При ликвидации Общества документы постоянного хранения, имеющие научно-историческое значение, передаются на государственное хранение в государственные архивные учреждения, документы по личному составу (прик</w:t>
      </w:r>
      <w:r>
        <w:rPr>
          <w:rFonts w:ascii="Times New Roman" w:hAnsi="Times New Roman" w:cs="Times New Roman"/>
          <w:sz w:val="28"/>
          <w:szCs w:val="28"/>
        </w:rPr>
        <w:t xml:space="preserve">азы, личные дела, лицевые счета и т.п.) передаются на хранение в архивный отдел администрации Губкинского городского округа. Передача и упорядочение документов осуществляется силами и за счет средств Общества в соответствии с требованиями архивных органов.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15.2.8. Ликвидация Общества считается завершенной с момента внесения органом государственной регистрации соответствующей записи в Единый государственный реестр юридических лиц.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libri Light">
    <w:panose1 w:val="020F0502020204030204"/>
  </w:font>
  <w:font w:name="Cambria Math">
    <w:panose1 w:val="02000603000000000000"/>
  </w:font>
  <w:font w:name="Times New Roman CYR">
    <w:panose1 w:val="02020603050405020304"/>
  </w:font>
  <w:font w:name="Tahoma">
    <w:panose1 w:val="020B0604030504040204"/>
  </w:font>
  <w:font w:name="Cambria">
    <w:panose1 w:val="0204050305040603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ind w:left="0" w:right="0" w:firstLine="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1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888"/>
                            <w:ind w:left="0" w:right="0" w:firstLine="0"/>
                            <w:rPr>
                              <w:rStyle w:val="875"/>
                            </w:rPr>
                          </w:pPr>
                          <w:r>
                            <w:rPr>
                              <w:rStyle w:val="875"/>
                              <w:rFonts w:cs="Times New Roman CYR"/>
                              <w:lang w:val="ru-RU" w:eastAsia="ru-RU" w:bidi="ar-SA"/>
                            </w:rPr>
                            <w:fldChar w:fldCharType="begin"/>
                          </w:r>
                          <w:r>
                            <w:rPr>
                              <w:rStyle w:val="875"/>
                              <w:rFonts w:cs="Times New Roman CYR"/>
                              <w:lang w:val="ru-RU" w:eastAsia="ru-RU" w:bidi="ar-SA"/>
                            </w:rPr>
                            <w:instrText xml:space="preserve"> PAGE </w:instrText>
                          </w:r>
                          <w:r>
                            <w:rPr>
                              <w:rStyle w:val="875"/>
                              <w:rFonts w:cs="Times New Roman CYR"/>
                              <w:lang w:val="ru-RU" w:eastAsia="ru-RU" w:bidi="ar-SA"/>
                            </w:rPr>
                            <w:fldChar w:fldCharType="separate"/>
                          </w:r>
                          <w:r>
                            <w:rPr>
                              <w:rStyle w:val="875"/>
                              <w:rFonts w:cs="Times New Roman CYR"/>
                              <w:lang w:val="ru-RU" w:eastAsia="ru-RU" w:bidi="ar-SA"/>
                            </w:rPr>
                            <w:t xml:space="preserve">15</w:t>
                          </w:r>
                          <w:r>
                            <w:rPr>
                              <w:rStyle w:val="875"/>
                              <w:rFonts w:cs="Times New Roman CYR"/>
                              <w:lang w:val="ru-RU" w:eastAsia="ru-RU" w:bidi="ar-SA"/>
                            </w:rPr>
                            <w:fldChar w:fldCharType="end"/>
                          </w:r>
                          <w:r>
                            <w:rPr>
                              <w:rStyle w:val="875"/>
                            </w:rPr>
                          </w:r>
                          <w:r>
                            <w:rPr>
                              <w:rStyle w:val="875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13;o:allowoverlap:true;o:allowincell:false;mso-position-horizontal-relative:margin;mso-position-horizontal:center;mso-position-vertical-relative:text;margin-top:0.05pt;mso-position-vertical:absolute;width:12.05pt;height:13.80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888"/>
                      <w:ind w:left="0" w:right="0" w:firstLine="0"/>
                      <w:rPr>
                        <w:rStyle w:val="875"/>
                      </w:rPr>
                    </w:pPr>
                    <w:r>
                      <w:rPr>
                        <w:rStyle w:val="875"/>
                        <w:rFonts w:cs="Times New Roman CYR"/>
                        <w:lang w:val="ru-RU" w:eastAsia="ru-RU" w:bidi="ar-SA"/>
                      </w:rPr>
                      <w:fldChar w:fldCharType="begin"/>
                    </w:r>
                    <w:r>
                      <w:rPr>
                        <w:rStyle w:val="875"/>
                        <w:rFonts w:cs="Times New Roman CYR"/>
                        <w:lang w:val="ru-RU" w:eastAsia="ru-RU" w:bidi="ar-SA"/>
                      </w:rPr>
                      <w:instrText xml:space="preserve"> PAGE </w:instrText>
                    </w:r>
                    <w:r>
                      <w:rPr>
                        <w:rStyle w:val="875"/>
                        <w:rFonts w:cs="Times New Roman CYR"/>
                        <w:lang w:val="ru-RU" w:eastAsia="ru-RU" w:bidi="ar-SA"/>
                      </w:rPr>
                      <w:fldChar w:fldCharType="separate"/>
                    </w:r>
                    <w:r>
                      <w:rPr>
                        <w:rStyle w:val="875"/>
                        <w:rFonts w:cs="Times New Roman CYR"/>
                        <w:lang w:val="ru-RU" w:eastAsia="ru-RU" w:bidi="ar-SA"/>
                      </w:rPr>
                      <w:t xml:space="preserve">15</w:t>
                    </w:r>
                    <w:r>
                      <w:rPr>
                        <w:rStyle w:val="875"/>
                        <w:rFonts w:cs="Times New Roman CYR"/>
                        <w:lang w:val="ru-RU" w:eastAsia="ru-RU" w:bidi="ar-SA"/>
                      </w:rPr>
                      <w:fldChar w:fldCharType="end"/>
                    </w:r>
                    <w:r>
                      <w:rPr>
                        <w:rStyle w:val="875"/>
                      </w:rPr>
                    </w:r>
                    <w:r>
                      <w:rPr>
                        <w:rStyle w:val="875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9">
    <w:name w:val="Heading 1 Char"/>
    <w:basedOn w:val="864"/>
    <w:link w:val="857"/>
    <w:uiPriority w:val="9"/>
    <w:rPr>
      <w:rFonts w:ascii="Arial" w:hAnsi="Arial" w:eastAsia="Arial" w:cs="Arial"/>
      <w:sz w:val="40"/>
      <w:szCs w:val="40"/>
    </w:rPr>
  </w:style>
  <w:style w:type="character" w:styleId="690">
    <w:name w:val="Heading 2 Char"/>
    <w:basedOn w:val="864"/>
    <w:link w:val="858"/>
    <w:uiPriority w:val="9"/>
    <w:rPr>
      <w:rFonts w:ascii="Arial" w:hAnsi="Arial" w:eastAsia="Arial" w:cs="Arial"/>
      <w:sz w:val="34"/>
    </w:rPr>
  </w:style>
  <w:style w:type="character" w:styleId="691">
    <w:name w:val="Heading 3 Char"/>
    <w:basedOn w:val="864"/>
    <w:link w:val="859"/>
    <w:uiPriority w:val="9"/>
    <w:rPr>
      <w:rFonts w:ascii="Arial" w:hAnsi="Arial" w:eastAsia="Arial" w:cs="Arial"/>
      <w:sz w:val="30"/>
      <w:szCs w:val="30"/>
    </w:rPr>
  </w:style>
  <w:style w:type="character" w:styleId="692">
    <w:name w:val="Heading 4 Char"/>
    <w:basedOn w:val="864"/>
    <w:link w:val="860"/>
    <w:uiPriority w:val="9"/>
    <w:rPr>
      <w:rFonts w:ascii="Arial" w:hAnsi="Arial" w:eastAsia="Arial" w:cs="Arial"/>
      <w:b/>
      <w:bCs/>
      <w:sz w:val="26"/>
      <w:szCs w:val="26"/>
    </w:rPr>
  </w:style>
  <w:style w:type="character" w:styleId="693">
    <w:name w:val="Heading 5 Char"/>
    <w:basedOn w:val="864"/>
    <w:link w:val="861"/>
    <w:uiPriority w:val="9"/>
    <w:rPr>
      <w:rFonts w:ascii="Arial" w:hAnsi="Arial" w:eastAsia="Arial" w:cs="Arial"/>
      <w:b/>
      <w:bCs/>
      <w:sz w:val="24"/>
      <w:szCs w:val="24"/>
    </w:rPr>
  </w:style>
  <w:style w:type="character" w:styleId="694">
    <w:name w:val="Heading 6 Char"/>
    <w:basedOn w:val="864"/>
    <w:link w:val="862"/>
    <w:uiPriority w:val="9"/>
    <w:rPr>
      <w:rFonts w:ascii="Arial" w:hAnsi="Arial" w:eastAsia="Arial" w:cs="Arial"/>
      <w:b/>
      <w:bCs/>
      <w:sz w:val="22"/>
      <w:szCs w:val="22"/>
    </w:rPr>
  </w:style>
  <w:style w:type="character" w:styleId="695">
    <w:name w:val="Heading 7 Char"/>
    <w:basedOn w:val="864"/>
    <w:link w:val="8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64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64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6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56"/>
    <w:next w:val="856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64"/>
    <w:link w:val="702"/>
    <w:uiPriority w:val="10"/>
    <w:rPr>
      <w:sz w:val="48"/>
      <w:szCs w:val="48"/>
    </w:rPr>
  </w:style>
  <w:style w:type="paragraph" w:styleId="704">
    <w:name w:val="Subtitle"/>
    <w:basedOn w:val="856"/>
    <w:next w:val="856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64"/>
    <w:link w:val="704"/>
    <w:uiPriority w:val="11"/>
    <w:rPr>
      <w:sz w:val="24"/>
      <w:szCs w:val="24"/>
    </w:rPr>
  </w:style>
  <w:style w:type="paragraph" w:styleId="706">
    <w:name w:val="Quote"/>
    <w:basedOn w:val="856"/>
    <w:next w:val="856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6"/>
    <w:next w:val="856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64"/>
    <w:link w:val="888"/>
    <w:uiPriority w:val="99"/>
  </w:style>
  <w:style w:type="character" w:styleId="711">
    <w:name w:val="Footer Char"/>
    <w:basedOn w:val="864"/>
    <w:link w:val="889"/>
    <w:uiPriority w:val="99"/>
  </w:style>
  <w:style w:type="character" w:styleId="712">
    <w:name w:val="Caption Char"/>
    <w:basedOn w:val="881"/>
    <w:link w:val="889"/>
    <w:uiPriority w:val="99"/>
  </w:style>
  <w:style w:type="table" w:styleId="713">
    <w:name w:val="Table Grid"/>
    <w:basedOn w:val="8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c3fdba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c3fdba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c3fdba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c3fdba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c5fdbc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c5fdbc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1ebe03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36b8fb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43c0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dc33fa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c3fdba" w:themeFill="accent1" w:themeFillTint="34"/>
    </w:tblPr>
    <w:tblStylePr w:type="band1Horz">
      <w:tcPr>
        <w:shd w:val="clear" w:color="ffffff" w:themeColor="accent1" w:themeTint="75" w:fill="79fb64" w:themeFill="accent1" w:themeFillTint="75"/>
      </w:tcPr>
    </w:tblStylePr>
    <w:tblStylePr w:type="band1Vert">
      <w:tcPr>
        <w:shd w:val="clear" w:color="ffffff" w:themeColor="accent1" w:themeTint="75" w:fill="79fb6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bce7fd" w:themeFill="accent2" w:themeFillTint="32"/>
    </w:tblPr>
    <w:tblStylePr w:type="band1Horz">
      <w:tcPr>
        <w:shd w:val="clear" w:color="ffffff" w:themeColor="accent2" w:themeTint="75" w:fill="64c8fb" w:themeFill="accent2" w:themeFillTint="75"/>
      </w:tcPr>
    </w:tblStylePr>
    <w:tblStylePr w:type="band1Vert">
      <w:tcPr>
        <w:shd w:val="clear" w:color="ffffff" w:themeColor="accent2" w:themeTint="75" w:fill="64c8fb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fdd2ba" w:themeFill="accent3" w:themeFillTint="34"/>
    </w:tblPr>
    <w:tblStylePr w:type="band1Horz">
      <w:tcPr>
        <w:shd w:val="clear" w:color="ffffff" w:themeColor="accent3" w:themeTint="75" w:fill="fb9964" w:themeFill="accent3" w:themeFillTint="75"/>
      </w:tcPr>
    </w:tblStylePr>
    <w:tblStylePr w:type="band1Vert">
      <w:tcPr>
        <w:shd w:val="clear" w:color="ffffff" w:themeColor="accent3" w:themeTint="75" w:fill="fb9964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3bafd" w:themeFill="accent4" w:themeFillTint="34"/>
    </w:tblPr>
    <w:tblStylePr w:type="band1Horz">
      <w:tcPr>
        <w:shd w:val="clear" w:color="ffffff" w:themeColor="accent4" w:themeTint="75" w:fill="e464fb" w:themeFill="accent4" w:themeFillTint="75"/>
      </w:tcPr>
    </w:tblStylePr>
    <w:tblStylePr w:type="band1Vert">
      <w:tcPr>
        <w:shd w:val="clear" w:color="ffffff" w:themeColor="accent4" w:themeTint="75" w:fill="e464fb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fefbf" w:themeFill="accent5" w:themeFillTint="34"/>
    </w:tblPr>
    <w:tblStylePr w:type="band1Horz">
      <w:tcPr>
        <w:shd w:val="clear" w:color="ffffff" w:themeColor="accent5" w:themeTint="75" w:fill="ffdb71" w:themeFill="accent5" w:themeFillTint="75"/>
      </w:tcPr>
    </w:tblStylePr>
    <w:tblStylePr w:type="band1Vert">
      <w:tcPr>
        <w:shd w:val="clear" w:color="ffffff" w:themeColor="accent5" w:themeTint="75" w:fill="ffdb71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7cccc" w:themeFill="accent6" w:themeFillTint="34"/>
    </w:tblPr>
    <w:tblStylePr w:type="band1Horz">
      <w:tcPr>
        <w:shd w:val="clear" w:color="ffffff" w:themeColor="accent6" w:themeTint="75" w:fill="ee8f8f" w:themeFill="accent6" w:themeFillTint="75"/>
      </w:tcPr>
    </w:tblStylePr>
    <w:tblStylePr w:type="band1Vert">
      <w:tcPr>
        <w:shd w:val="clear" w:color="ffffff" w:themeColor="accent6" w:themeTint="75" w:fill="ee8f8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c3fdba" w:themeFill="accent1" w:themeFillTint="34"/>
      </w:tcPr>
    </w:tblStylePr>
    <w:tblStylePr w:type="band1Vert">
      <w:tcPr>
        <w:shd w:val="clear" w:color="ffffff" w:themeColor="accent1" w:themeTint="34" w:fill="c3fdba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1ebf04" w:themeColor="accent1" w:themeTint="80" w:themeShade="95"/>
      </w:rPr>
    </w:tblStylePr>
    <w:tblStylePr w:type="firstRow">
      <w:rPr>
        <w:b/>
        <w:color w:val="1ebf04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ebf04" w:themeColor="accent1" w:themeTint="80" w:themeShade="95"/>
      </w:rPr>
    </w:tblStylePr>
    <w:tblStylePr w:type="lastRow">
      <w:rPr>
        <w:b/>
        <w:color w:val="1ebf04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tcPr>
        <w:shd w:val="clear" w:color="ffffff" w:themeColor="accent2" w:themeTint="32" w:fill="bce7fd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0378ae" w:themeColor="accent2" w:themeTint="97" w:themeShade="95"/>
      </w:rPr>
    </w:tblStylePr>
    <w:tblStylePr w:type="firstRow">
      <w:rPr>
        <w:b/>
        <w:color w:val="0378ae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0378ae" w:themeColor="accent2" w:themeTint="97" w:themeShade="95"/>
      </w:rPr>
    </w:tblStylePr>
    <w:tblStylePr w:type="lastRow">
      <w:rPr>
        <w:b/>
        <w:color w:val="0378ae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tcPr>
        <w:shd w:val="clear" w:color="ffffff" w:themeColor="accent3" w:themeTint="34" w:fill="fdd2ba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e2201" w:themeColor="accent3" w:themeTint="FE" w:themeShade="95"/>
      </w:rPr>
    </w:tblStylePr>
    <w:tblStylePr w:type="firstRow">
      <w:rPr>
        <w:b/>
        <w:color w:val="5e2201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e2201" w:themeColor="accent3" w:themeTint="FE" w:themeShade="95"/>
      </w:rPr>
    </w:tblStylePr>
    <w:tblStylePr w:type="lastRow">
      <w:rPr>
        <w:b/>
        <w:color w:val="5e2201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tcPr>
        <w:shd w:val="clear" w:color="ffffff" w:themeColor="accent4" w:themeTint="34" w:fill="f3bafd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9104ab" w:themeColor="accent4" w:themeTint="9A" w:themeShade="95"/>
      </w:rPr>
    </w:tblStylePr>
    <w:tblStylePr w:type="firstRow">
      <w:rPr>
        <w:b/>
        <w:color w:val="9104ab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9104ab" w:themeColor="accent4" w:themeTint="9A" w:themeShade="95"/>
      </w:rPr>
    </w:tblStylePr>
    <w:tblStylePr w:type="lastRow">
      <w:rPr>
        <w:b/>
        <w:color w:val="9104ab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tcPr>
        <w:shd w:val="clear" w:color="ffffff" w:themeColor="accent5" w:themeTint="34" w:fill="ffefb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745700" w:themeColor="accent5" w:themeShade="95"/>
      </w:rPr>
    </w:tblStylePr>
    <w:tblStylePr w:type="firstRow">
      <w:rPr>
        <w:b/>
        <w:color w:val="745700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745700" w:themeColor="accent5" w:themeShade="95"/>
      </w:rPr>
    </w:tblStylePr>
    <w:tblStylePr w:type="lastRow">
      <w:rPr>
        <w:b/>
        <w:color w:val="745700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tcPr>
        <w:shd w:val="clear" w:color="ffffff" w:themeColor="accent6" w:themeTint="34" w:fill="f7cccc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745700" w:themeColor="accent5" w:themeShade="95"/>
      </w:rPr>
    </w:tblStylePr>
    <w:tblStylePr w:type="firstRow">
      <w:rPr>
        <w:b/>
        <w:color w:val="745700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745700" w:themeColor="accent5" w:themeShade="95"/>
      </w:rPr>
    </w:tblStylePr>
    <w:tblStylePr w:type="lastRow">
      <w:rPr>
        <w:b/>
        <w:color w:val="745700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1ebf04" w:themeColor="accent1" w:themeTint="80" w:themeShade="95"/>
        <w:sz w:val="22"/>
      </w:rPr>
      <w:tcPr>
        <w:shd w:val="clear" w:color="ffffff" w:themeColor="accent1" w:themeTint="34" w:fill="c3fdba" w:themeFill="accent1" w:themeFillTint="34"/>
      </w:tcPr>
    </w:tblStylePr>
    <w:tblStylePr w:type="band1Vert">
      <w:tcPr>
        <w:shd w:val="clear" w:color="ffffff" w:themeColor="accent1" w:themeTint="34" w:fill="c3fdba" w:themeFill="accent1" w:themeFillTint="34"/>
      </w:tcPr>
    </w:tblStylePr>
    <w:tblStylePr w:type="band2Horz">
      <w:rPr>
        <w:rFonts w:ascii="Arial" w:hAnsi="Arial"/>
        <w:color w:val="1ebf04" w:themeColor="accent1" w:themeTint="80" w:themeShade="95"/>
        <w:sz w:val="22"/>
      </w:rPr>
    </w:tblStylePr>
    <w:tblStylePr w:type="firstCol">
      <w:rPr>
        <w:rFonts w:ascii="Arial" w:hAnsi="Arial"/>
        <w:i/>
        <w:color w:val="1ebf04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ebf04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ebf04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ebf04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0378ae" w:themeColor="accent2" w:themeTint="97" w:themeShade="95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tcPr>
        <w:shd w:val="clear" w:color="ffffff" w:themeColor="accent2" w:themeTint="32" w:fill="bce7fd" w:themeFill="accent2" w:themeFillTint="32"/>
      </w:tcPr>
    </w:tblStylePr>
    <w:tblStylePr w:type="band2Horz">
      <w:rPr>
        <w:rFonts w:ascii="Arial" w:hAnsi="Arial"/>
        <w:color w:val="0378ae" w:themeColor="accent2" w:themeTint="97" w:themeShade="95"/>
        <w:sz w:val="22"/>
      </w:rPr>
    </w:tblStylePr>
    <w:tblStylePr w:type="firstCol">
      <w:rPr>
        <w:rFonts w:ascii="Arial" w:hAnsi="Arial"/>
        <w:i/>
        <w:color w:val="0378ae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0378ae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378ae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0378ae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e2201" w:themeColor="accent3" w:themeTint="FE" w:themeShade="95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tcPr>
        <w:shd w:val="clear" w:color="ffffff" w:themeColor="accent3" w:themeTint="34" w:fill="fdd2ba" w:themeFill="accent3" w:themeFillTint="34"/>
      </w:tcPr>
    </w:tblStylePr>
    <w:tblStylePr w:type="band2Horz">
      <w:rPr>
        <w:rFonts w:ascii="Arial" w:hAnsi="Arial"/>
        <w:color w:val="5e2201" w:themeColor="accent3" w:themeTint="FE" w:themeShade="95"/>
        <w:sz w:val="22"/>
      </w:rPr>
    </w:tblStylePr>
    <w:tblStylePr w:type="firstCol">
      <w:rPr>
        <w:rFonts w:ascii="Arial" w:hAnsi="Arial"/>
        <w:i/>
        <w:color w:val="5e2201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e2201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2201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e2201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9104ab" w:themeColor="accent4" w:themeTint="9A" w:themeShade="95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tcPr>
        <w:shd w:val="clear" w:color="ffffff" w:themeColor="accent4" w:themeTint="34" w:fill="f3bafd" w:themeFill="accent4" w:themeFillTint="34"/>
      </w:tcPr>
    </w:tblStylePr>
    <w:tblStylePr w:type="band2Horz">
      <w:rPr>
        <w:rFonts w:ascii="Arial" w:hAnsi="Arial"/>
        <w:color w:val="9104ab" w:themeColor="accent4" w:themeTint="9A" w:themeShade="95"/>
        <w:sz w:val="22"/>
      </w:rPr>
    </w:tblStylePr>
    <w:tblStylePr w:type="firstCol">
      <w:rPr>
        <w:rFonts w:ascii="Arial" w:hAnsi="Arial"/>
        <w:i/>
        <w:color w:val="9104ab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9104ab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104ab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104ab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745700" w:themeColor="accent5" w:themeShade="95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tcPr>
        <w:shd w:val="clear" w:color="ffffff" w:themeColor="accent5" w:themeTint="34" w:fill="ffefbf" w:themeFill="accent5" w:themeFillTint="34"/>
      </w:tcPr>
    </w:tblStylePr>
    <w:tblStylePr w:type="band2Horz">
      <w:rPr>
        <w:rFonts w:ascii="Arial" w:hAnsi="Arial"/>
        <w:color w:val="745700" w:themeColor="accent5" w:themeShade="95"/>
        <w:sz w:val="22"/>
      </w:rPr>
    </w:tblStylePr>
    <w:tblStylePr w:type="firstCol">
      <w:rPr>
        <w:rFonts w:ascii="Arial" w:hAnsi="Arial"/>
        <w:i/>
        <w:color w:val="745700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745700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45700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45700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741111" w:themeColor="accent6" w:themeShade="95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tcPr>
        <w:shd w:val="clear" w:color="ffffff" w:themeColor="accent6" w:themeTint="34" w:fill="f7cccc" w:themeFill="accent6" w:themeFillTint="34"/>
      </w:tcPr>
    </w:tblStylePr>
    <w:tblStylePr w:type="band2Horz">
      <w:rPr>
        <w:rFonts w:ascii="Arial" w:hAnsi="Arial"/>
        <w:color w:val="741111" w:themeColor="accent6" w:themeShade="95"/>
        <w:sz w:val="22"/>
      </w:rPr>
    </w:tblStylePr>
    <w:tblStylePr w:type="firstCol">
      <w:rPr>
        <w:rFonts w:ascii="Arial" w:hAnsi="Arial"/>
        <w:i/>
        <w:color w:val="741111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741111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41111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41111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b6fdaa" w:themeFill="accent1" w:themeFillTint="40"/>
      </w:tcPr>
    </w:tblStylePr>
    <w:tblStylePr w:type="band1Vert">
      <w:tcPr>
        <w:shd w:val="clear" w:color="ffffff" w:themeColor="accent1" w:themeTint="40" w:fill="b6fdaa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aae1fd" w:themeFill="accent2" w:themeFillTint="40"/>
      </w:tcPr>
    </w:tblStylePr>
    <w:tblStylePr w:type="band1Vert">
      <w:tcPr>
        <w:shd w:val="clear" w:color="ffffff" w:themeColor="accent2" w:themeTint="40" w:fill="aae1fd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fdc7aa" w:themeFill="accent3" w:themeFillTint="40"/>
      </w:tcPr>
    </w:tblStylePr>
    <w:tblStylePr w:type="band1Vert">
      <w:tcPr>
        <w:shd w:val="clear" w:color="ffffff" w:themeColor="accent3" w:themeTint="40" w:fill="fdc7aa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0aafd" w:themeFill="accent4" w:themeFillTint="40"/>
      </w:tcPr>
    </w:tblStylePr>
    <w:tblStylePr w:type="band1Vert">
      <w:tcPr>
        <w:shd w:val="clear" w:color="ffffff" w:themeColor="accent4" w:themeTint="40" w:fill="f0aafd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ffebb1" w:themeFill="accent5" w:themeFillTint="40"/>
      </w:tcPr>
    </w:tblStylePr>
    <w:tblStylePr w:type="band1Vert">
      <w:tcPr>
        <w:shd w:val="clear" w:color="ffffff" w:themeColor="accent5" w:themeTint="40" w:fill="ffebb1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5c2c2" w:themeFill="accent6" w:themeFillTint="40"/>
      </w:tcPr>
    </w:tblStylePr>
    <w:tblStylePr w:type="band1Vert">
      <w:tcPr>
        <w:shd w:val="clear" w:color="ffffff" w:themeColor="accent6" w:themeTint="40" w:fill="f5c2c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b6fdaa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b6fdaa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aae1fd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aae1fd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fdc7aa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fdc7aa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0aafd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0aafd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ffebb1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ffebb1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5c2c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5c2c2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36b8fb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fa7a35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dc33fa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ffd042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e96e6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b6fdaa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b6fdaa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aae1fd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aae1fd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fdc7aa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fdc7aa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0aafd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0aafd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ffebb1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ffebb1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5c2c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5c2c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8a303" w:themeFill="accent1"/>
    </w:tblPr>
    <w:tblStylePr w:type="band1Horz">
      <w:tcPr>
        <w:shd w:val="clear" w:color="ffffff" w:themeColor="accent1" w:fill="18a303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18a303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18a303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18a303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36b8fb" w:themeFill="accent2" w:themeFillTint="97"/>
    </w:tblPr>
    <w:tblStylePr w:type="band1Horz">
      <w:tcPr>
        <w:shd w:val="clear" w:color="ffffff" w:themeColor="accent2" w:themeTint="97" w:fill="36b8fb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36b8fb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36b8fb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36b8fb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fa7a35" w:themeFill="accent3" w:themeFillTint="98"/>
    </w:tblPr>
    <w:tblStylePr w:type="band1Horz">
      <w:tcPr>
        <w:shd w:val="clear" w:color="ffffff" w:themeColor="accent3" w:themeTint="98" w:fill="fa7a35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fa7a35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fa7a35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fa7a35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dc33fa" w:themeFill="accent4" w:themeFillTint="9A"/>
    </w:tblPr>
    <w:tblStylePr w:type="band1Horz">
      <w:tcPr>
        <w:shd w:val="clear" w:color="ffffff" w:themeColor="accent4" w:themeTint="9A" w:fill="dc33fa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dc33fa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dc33fa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dc33fa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ffd042" w:themeFill="accent5" w:themeFillTint="9A"/>
    </w:tblPr>
    <w:tblStylePr w:type="band1Horz">
      <w:tcPr>
        <w:shd w:val="clear" w:color="ffffff" w:themeColor="accent5" w:themeTint="9A" w:fill="ffd042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ffd042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ffd042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ffd042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e96e6e" w:themeFill="accent6" w:themeFillTint="98"/>
    </w:tblPr>
    <w:tblStylePr w:type="band1Horz">
      <w:tcPr>
        <w:shd w:val="clear" w:color="ffffff" w:themeColor="accent6" w:themeTint="98" w:fill="e96e6e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e96e6e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e96e6e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e96e6e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b6fdaa" w:themeFill="accent1" w:themeFillTint="40"/>
      </w:tcPr>
    </w:tblStylePr>
    <w:tblStylePr w:type="band1Vert">
      <w:tcPr>
        <w:shd w:val="clear" w:color="ffffff" w:themeColor="accent1" w:themeTint="40" w:fill="b6fdaa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0e5e01" w:themeColor="accent1" w:themeShade="95"/>
      </w:rPr>
    </w:tblStylePr>
    <w:tblStylePr w:type="firstRow">
      <w:rPr>
        <w:b/>
        <w:color w:val="0e5e0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e5e01" w:themeColor="accent1" w:themeShade="95"/>
      </w:rPr>
    </w:tblStylePr>
    <w:tblStylePr w:type="lastRow">
      <w:rPr>
        <w:b/>
        <w:color w:val="0e5e0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aae1fd" w:themeFill="accent2" w:themeFillTint="40"/>
      </w:tcPr>
    </w:tblStylePr>
    <w:tblStylePr w:type="band1Vert">
      <w:tcPr>
        <w:shd w:val="clear" w:color="ffffff" w:themeColor="accent2" w:themeTint="40" w:fill="aae1fd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0378ae" w:themeColor="accent2" w:themeTint="97" w:themeShade="95"/>
      </w:rPr>
    </w:tblStylePr>
    <w:tblStylePr w:type="firstRow">
      <w:rPr>
        <w:b/>
        <w:color w:val="0378ae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0378ae" w:themeColor="accent2" w:themeTint="97" w:themeShade="95"/>
      </w:rPr>
    </w:tblStylePr>
    <w:tblStylePr w:type="lastRow">
      <w:rPr>
        <w:b/>
        <w:color w:val="0378ae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fdc7aa" w:themeFill="accent3" w:themeFillTint="40"/>
      </w:tcPr>
    </w:tblStylePr>
    <w:tblStylePr w:type="band1Vert">
      <w:tcPr>
        <w:shd w:val="clear" w:color="ffffff" w:themeColor="accent3" w:themeTint="40" w:fill="fdc7aa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ab3b04" w:themeColor="accent3" w:themeTint="98" w:themeShade="95"/>
      </w:rPr>
    </w:tblStylePr>
    <w:tblStylePr w:type="firstRow">
      <w:rPr>
        <w:b/>
        <w:color w:val="ab3b04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ab3b04" w:themeColor="accent3" w:themeTint="98" w:themeShade="95"/>
      </w:rPr>
    </w:tblStylePr>
    <w:tblStylePr w:type="lastRow">
      <w:rPr>
        <w:b/>
        <w:color w:val="ab3b04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0aafd" w:themeFill="accent4" w:themeFillTint="40"/>
      </w:tcPr>
    </w:tblStylePr>
    <w:tblStylePr w:type="band1Vert">
      <w:tcPr>
        <w:shd w:val="clear" w:color="ffffff" w:themeColor="accent4" w:themeTint="40" w:fill="f0aafd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9104ab" w:themeColor="accent4" w:themeTint="9A" w:themeShade="95"/>
      </w:rPr>
    </w:tblStylePr>
    <w:tblStylePr w:type="firstRow">
      <w:rPr>
        <w:b/>
        <w:color w:val="9104ab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9104ab" w:themeColor="accent4" w:themeTint="9A" w:themeShade="95"/>
      </w:rPr>
    </w:tblStylePr>
    <w:tblStylePr w:type="lastRow">
      <w:rPr>
        <w:b/>
        <w:color w:val="9104ab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ffebb1" w:themeFill="accent5" w:themeFillTint="40"/>
      </w:tcPr>
    </w:tblStylePr>
    <w:tblStylePr w:type="band1Vert">
      <w:tcPr>
        <w:shd w:val="clear" w:color="ffffff" w:themeColor="accent5" w:themeTint="40" w:fill="ffebb1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ba8700" w:themeColor="accent5" w:themeTint="9A" w:themeShade="95"/>
      </w:rPr>
    </w:tblStylePr>
    <w:tblStylePr w:type="firstRow">
      <w:rPr>
        <w:b/>
        <w:color w:val="ba870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ba8700" w:themeColor="accent5" w:themeTint="9A" w:themeShade="95"/>
      </w:rPr>
    </w:tblStylePr>
    <w:tblStylePr w:type="lastRow">
      <w:rPr>
        <w:b/>
        <w:color w:val="ba870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5c2c2" w:themeFill="accent6" w:themeFillTint="40"/>
      </w:tcPr>
    </w:tblStylePr>
    <w:tblStylePr w:type="band1Vert">
      <w:tcPr>
        <w:shd w:val="clear" w:color="ffffff" w:themeColor="accent6" w:themeTint="40" w:fill="f5c2c2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ad1a1a" w:themeColor="accent6" w:themeTint="98" w:themeShade="95"/>
      </w:rPr>
    </w:tblStylePr>
    <w:tblStylePr w:type="firstRow">
      <w:rPr>
        <w:b/>
        <w:color w:val="ad1a1a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ad1a1a" w:themeColor="accent6" w:themeTint="98" w:themeShade="95"/>
      </w:rPr>
    </w:tblStylePr>
    <w:tblStylePr w:type="lastRow">
      <w:rPr>
        <w:b/>
        <w:color w:val="ad1a1a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0e5e01" w:themeColor="accent1" w:themeShade="95"/>
        <w:sz w:val="22"/>
      </w:rPr>
      <w:tcPr>
        <w:shd w:val="clear" w:color="ffffff" w:themeColor="accent1" w:themeTint="40" w:fill="b6fdaa" w:themeFill="accent1" w:themeFillTint="40"/>
      </w:tcPr>
    </w:tblStylePr>
    <w:tblStylePr w:type="band1Vert">
      <w:tcPr>
        <w:shd w:val="clear" w:color="ffffff" w:themeColor="accent1" w:themeTint="40" w:fill="b6fdaa" w:themeFill="accent1" w:themeFillTint="40"/>
      </w:tcPr>
    </w:tblStylePr>
    <w:tblStylePr w:type="band2Horz">
      <w:rPr>
        <w:rFonts w:ascii="Arial" w:hAnsi="Arial"/>
        <w:color w:val="0e5e01" w:themeColor="accent1" w:themeShade="95"/>
        <w:sz w:val="22"/>
      </w:rPr>
    </w:tblStylePr>
    <w:tblStylePr w:type="firstCol">
      <w:rPr>
        <w:rFonts w:ascii="Arial" w:hAnsi="Arial"/>
        <w:i/>
        <w:color w:val="0e5e0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e5e0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e5e0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e5e0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0e5e01" w:themeColor="accent1" w:themeShade="95"/>
        <w:sz w:val="22"/>
      </w:rPr>
    </w:tblStylePr>
  </w:style>
  <w:style w:type="table" w:styleId="813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0378ae" w:themeColor="accent2" w:themeTint="97" w:themeShade="95"/>
        <w:sz w:val="22"/>
      </w:rPr>
      <w:tcPr>
        <w:shd w:val="clear" w:color="ffffff" w:themeColor="accent2" w:themeTint="40" w:fill="aae1fd" w:themeFill="accent2" w:themeFillTint="40"/>
      </w:tcPr>
    </w:tblStylePr>
    <w:tblStylePr w:type="band1Vert">
      <w:tcPr>
        <w:shd w:val="clear" w:color="ffffff" w:themeColor="accent2" w:themeTint="40" w:fill="aae1fd" w:themeFill="accent2" w:themeFillTint="40"/>
      </w:tcPr>
    </w:tblStylePr>
    <w:tblStylePr w:type="band2Horz">
      <w:rPr>
        <w:rFonts w:ascii="Arial" w:hAnsi="Arial"/>
        <w:color w:val="0378ae" w:themeColor="accent2" w:themeTint="97" w:themeShade="95"/>
        <w:sz w:val="22"/>
      </w:rPr>
    </w:tblStylePr>
    <w:tblStylePr w:type="firstCol">
      <w:rPr>
        <w:rFonts w:ascii="Arial" w:hAnsi="Arial"/>
        <w:i/>
        <w:color w:val="0378ae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0378ae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378ae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378ae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0378ae" w:themeColor="accent2" w:themeTint="97" w:themeShade="95"/>
        <w:sz w:val="22"/>
      </w:rPr>
    </w:tblStylePr>
  </w:style>
  <w:style w:type="table" w:styleId="814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ab3b04" w:themeColor="accent3" w:themeTint="98" w:themeShade="95"/>
        <w:sz w:val="22"/>
      </w:rPr>
      <w:tcPr>
        <w:shd w:val="clear" w:color="ffffff" w:themeColor="accent3" w:themeTint="40" w:fill="fdc7aa" w:themeFill="accent3" w:themeFillTint="40"/>
      </w:tcPr>
    </w:tblStylePr>
    <w:tblStylePr w:type="band1Vert">
      <w:tcPr>
        <w:shd w:val="clear" w:color="ffffff" w:themeColor="accent3" w:themeTint="40" w:fill="fdc7aa" w:themeFill="accent3" w:themeFillTint="40"/>
      </w:tcPr>
    </w:tblStylePr>
    <w:tblStylePr w:type="band2Horz">
      <w:rPr>
        <w:rFonts w:ascii="Arial" w:hAnsi="Arial"/>
        <w:color w:val="ab3b04" w:themeColor="accent3" w:themeTint="98" w:themeShade="95"/>
        <w:sz w:val="22"/>
      </w:rPr>
    </w:tblStylePr>
    <w:tblStylePr w:type="firstCol">
      <w:rPr>
        <w:rFonts w:ascii="Arial" w:hAnsi="Arial"/>
        <w:i/>
        <w:color w:val="ab3b04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ab3b04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b3b04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b3b04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ab3b04" w:themeColor="accent3" w:themeTint="98" w:themeShade="95"/>
        <w:sz w:val="22"/>
      </w:rPr>
    </w:tblStylePr>
  </w:style>
  <w:style w:type="table" w:styleId="815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9104ab" w:themeColor="accent4" w:themeTint="9A" w:themeShade="95"/>
        <w:sz w:val="22"/>
      </w:rPr>
      <w:tcPr>
        <w:shd w:val="clear" w:color="ffffff" w:themeColor="accent4" w:themeTint="40" w:fill="f0aafd" w:themeFill="accent4" w:themeFillTint="40"/>
      </w:tcPr>
    </w:tblStylePr>
    <w:tblStylePr w:type="band1Vert">
      <w:tcPr>
        <w:shd w:val="clear" w:color="ffffff" w:themeColor="accent4" w:themeTint="40" w:fill="f0aafd" w:themeFill="accent4" w:themeFillTint="40"/>
      </w:tcPr>
    </w:tblStylePr>
    <w:tblStylePr w:type="band2Horz">
      <w:rPr>
        <w:rFonts w:ascii="Arial" w:hAnsi="Arial"/>
        <w:color w:val="9104ab" w:themeColor="accent4" w:themeTint="9A" w:themeShade="95"/>
        <w:sz w:val="22"/>
      </w:rPr>
    </w:tblStylePr>
    <w:tblStylePr w:type="firstCol">
      <w:rPr>
        <w:rFonts w:ascii="Arial" w:hAnsi="Arial"/>
        <w:i/>
        <w:color w:val="9104ab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9104ab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104ab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104ab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104ab" w:themeColor="accent4" w:themeTint="9A" w:themeShade="95"/>
        <w:sz w:val="22"/>
      </w:rPr>
    </w:tblStylePr>
  </w:style>
  <w:style w:type="table" w:styleId="816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ba8700" w:themeColor="accent5" w:themeTint="9A" w:themeShade="95"/>
        <w:sz w:val="22"/>
      </w:rPr>
      <w:tcPr>
        <w:shd w:val="clear" w:color="ffffff" w:themeColor="accent5" w:themeTint="40" w:fill="ffebb1" w:themeFill="accent5" w:themeFillTint="40"/>
      </w:tcPr>
    </w:tblStylePr>
    <w:tblStylePr w:type="band1Vert">
      <w:tcPr>
        <w:shd w:val="clear" w:color="ffffff" w:themeColor="accent5" w:themeTint="40" w:fill="ffebb1" w:themeFill="accent5" w:themeFillTint="40"/>
      </w:tcPr>
    </w:tblStylePr>
    <w:tblStylePr w:type="band2Horz">
      <w:rPr>
        <w:rFonts w:ascii="Arial" w:hAnsi="Arial"/>
        <w:color w:val="ba8700" w:themeColor="accent5" w:themeTint="9A" w:themeShade="95"/>
        <w:sz w:val="22"/>
      </w:rPr>
    </w:tblStylePr>
    <w:tblStylePr w:type="firstCol">
      <w:rPr>
        <w:rFonts w:ascii="Arial" w:hAnsi="Arial"/>
        <w:i/>
        <w:color w:val="ba870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ba870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a870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a870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ba8700" w:themeColor="accent5" w:themeTint="9A" w:themeShade="95"/>
        <w:sz w:val="22"/>
      </w:rPr>
    </w:tblStylePr>
  </w:style>
  <w:style w:type="table" w:styleId="817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ad1a1a" w:themeColor="accent6" w:themeTint="98" w:themeShade="95"/>
        <w:sz w:val="22"/>
      </w:rPr>
      <w:tcPr>
        <w:shd w:val="clear" w:color="ffffff" w:themeColor="accent6" w:themeTint="40" w:fill="f5c2c2" w:themeFill="accent6" w:themeFillTint="40"/>
      </w:tcPr>
    </w:tblStylePr>
    <w:tblStylePr w:type="band1Vert">
      <w:tcPr>
        <w:shd w:val="clear" w:color="ffffff" w:themeColor="accent6" w:themeTint="40" w:fill="f5c2c2" w:themeFill="accent6" w:themeFillTint="40"/>
      </w:tcPr>
    </w:tblStylePr>
    <w:tblStylePr w:type="band2Horz">
      <w:rPr>
        <w:rFonts w:ascii="Arial" w:hAnsi="Arial"/>
        <w:color w:val="ad1a1a" w:themeColor="accent6" w:themeTint="98" w:themeShade="95"/>
        <w:sz w:val="22"/>
      </w:rPr>
    </w:tblStylePr>
    <w:tblStylePr w:type="firstCol">
      <w:rPr>
        <w:rFonts w:ascii="Arial" w:hAnsi="Arial"/>
        <w:i/>
        <w:color w:val="ad1a1a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ad1a1a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d1a1a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d1a1a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ad1a1a" w:themeColor="accent6" w:themeTint="98" w:themeShade="95"/>
        <w:sz w:val="22"/>
      </w:rPr>
    </w:tblStylePr>
  </w:style>
  <w:style w:type="table" w:styleId="818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a3fc9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a3fc9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</w:style>
  <w:style w:type="table" w:styleId="820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</w:style>
  <w:style w:type="table" w:styleId="821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</w:style>
  <w:style w:type="table" w:styleId="822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</w:style>
  <w:style w:type="table" w:styleId="823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</w:style>
  <w:style w:type="table" w:styleId="824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</w:style>
  <w:style w:type="table" w:styleId="825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a3fc9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a3fc9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</w:style>
  <w:style w:type="table" w:styleId="827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</w:style>
  <w:style w:type="table" w:styleId="828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</w:style>
  <w:style w:type="table" w:styleId="829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</w:style>
  <w:style w:type="table" w:styleId="830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</w:style>
  <w:style w:type="table" w:styleId="831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</w:style>
  <w:style w:type="table" w:styleId="832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64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64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>
    <w:name w:val="Normal"/>
    <w:qFormat/>
    <w:pPr>
      <w:jc w:val="left"/>
      <w:widowControl w:val="off"/>
    </w:pPr>
    <w:rPr>
      <w:rFonts w:ascii="Times New Roman CYR" w:hAnsi="Times New Roman CYR" w:eastAsia="Cambria Math" w:cs="Times New Roman CYR"/>
      <w:color w:val="auto"/>
      <w:sz w:val="24"/>
      <w:szCs w:val="24"/>
      <w:lang w:val="ru-RU" w:eastAsia="ru-RU" w:bidi="ar-SA"/>
    </w:rPr>
  </w:style>
  <w:style w:type="paragraph" w:styleId="857">
    <w:name w:val="Heading 1"/>
    <w:basedOn w:val="856"/>
    <w:next w:val="856"/>
    <w:qFormat/>
    <w:pPr>
      <w:jc w:val="left"/>
      <w:widowControl w:val="off"/>
      <w:outlineLvl w:val="0"/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58">
    <w:name w:val="Heading 2"/>
    <w:basedOn w:val="856"/>
    <w:next w:val="856"/>
    <w:qFormat/>
    <w:pPr>
      <w:jc w:val="left"/>
      <w:widowControl w:val="off"/>
      <w:outlineLvl w:val="1"/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59">
    <w:name w:val="Heading 3"/>
    <w:basedOn w:val="856"/>
    <w:next w:val="856"/>
    <w:qFormat/>
    <w:pPr>
      <w:jc w:val="left"/>
      <w:widowControl w:val="off"/>
      <w:outlineLvl w:val="2"/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60">
    <w:name w:val="Heading 4"/>
    <w:basedOn w:val="856"/>
    <w:next w:val="856"/>
    <w:qFormat/>
    <w:pPr>
      <w:jc w:val="left"/>
      <w:widowControl w:val="off"/>
      <w:outlineLvl w:val="3"/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61">
    <w:name w:val="Heading 5"/>
    <w:basedOn w:val="856"/>
    <w:next w:val="856"/>
    <w:qFormat/>
    <w:pPr>
      <w:jc w:val="left"/>
      <w:widowControl w:val="off"/>
      <w:outlineLvl w:val="4"/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62">
    <w:name w:val="Heading 6"/>
    <w:basedOn w:val="856"/>
    <w:next w:val="856"/>
    <w:qFormat/>
    <w:pPr>
      <w:jc w:val="left"/>
      <w:widowControl w:val="off"/>
      <w:outlineLvl w:val="5"/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63">
    <w:name w:val="Heading 7"/>
    <w:basedOn w:val="856"/>
    <w:next w:val="856"/>
    <w:qFormat/>
    <w:pPr>
      <w:jc w:val="left"/>
      <w:widowControl w:val="off"/>
      <w:outlineLvl w:val="6"/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character" w:styleId="864" w:default="1">
    <w:name w:val="Default Paragraph Font"/>
    <w:qFormat/>
  </w:style>
  <w:style w:type="character" w:styleId="865">
    <w:name w:val="Заголовок 1 Знак"/>
    <w:basedOn w:val="864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866">
    <w:name w:val="Заголовок 2 Знак"/>
    <w:basedOn w:val="864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67">
    <w:name w:val="Заголовок 3 Знак"/>
    <w:basedOn w:val="864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868">
    <w:name w:val="Заголовок 4 Знак"/>
    <w:basedOn w:val="864"/>
    <w:qFormat/>
    <w:rPr>
      <w:rFonts w:ascii="Calibri" w:hAnsi="Calibri" w:eastAsia="Times New Roman" w:cs="Times New Roman"/>
      <w:b/>
      <w:bCs/>
      <w:sz w:val="28"/>
      <w:szCs w:val="28"/>
    </w:rPr>
  </w:style>
  <w:style w:type="character" w:styleId="869">
    <w:name w:val="Заголовок 5 Знак"/>
    <w:basedOn w:val="864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870">
    <w:name w:val="Заголовок 6 Знак"/>
    <w:basedOn w:val="864"/>
    <w:qFormat/>
    <w:rPr>
      <w:rFonts w:ascii="Calibri" w:hAnsi="Calibri" w:eastAsia="Times New Roman" w:cs="Times New Roman"/>
      <w:b/>
      <w:bCs/>
      <w:sz w:val="24"/>
      <w:szCs w:val="24"/>
    </w:rPr>
  </w:style>
  <w:style w:type="character" w:styleId="871">
    <w:name w:val="Заголовок 7 Знак"/>
    <w:basedOn w:val="864"/>
    <w:qFormat/>
    <w:rPr>
      <w:rFonts w:ascii="Calibri" w:hAnsi="Calibri" w:eastAsia="Times New Roman" w:cs="Times New Roman"/>
    </w:rPr>
  </w:style>
  <w:style w:type="character" w:styleId="872">
    <w:name w:val="Текст выноски Знак"/>
    <w:basedOn w:val="864"/>
    <w:qFormat/>
    <w:rPr>
      <w:rFonts w:ascii="Tahoma" w:hAnsi="Tahoma" w:cs="Tahoma"/>
      <w:sz w:val="16"/>
      <w:szCs w:val="16"/>
    </w:rPr>
  </w:style>
  <w:style w:type="character" w:styleId="873">
    <w:name w:val="Strong"/>
    <w:basedOn w:val="864"/>
    <w:qFormat/>
    <w:rPr>
      <w:rFonts w:ascii="Times New Roman" w:hAnsi="Times New Roman" w:cs="Times New Roman"/>
      <w:b/>
      <w:bCs/>
      <w:sz w:val="24"/>
      <w:szCs w:val="24"/>
    </w:rPr>
  </w:style>
  <w:style w:type="character" w:styleId="874">
    <w:name w:val="Верхний колонтитул Знак"/>
    <w:basedOn w:val="864"/>
    <w:qFormat/>
  </w:style>
  <w:style w:type="character" w:styleId="875">
    <w:name w:val="page number"/>
    <w:basedOn w:val="864"/>
    <w:qFormat/>
    <w:rPr>
      <w:rFonts w:ascii="Times New Roman" w:hAnsi="Times New Roman" w:cs="Times New Roman"/>
      <w:sz w:val="24"/>
      <w:szCs w:val="24"/>
    </w:rPr>
  </w:style>
  <w:style w:type="character" w:styleId="876">
    <w:name w:val="Нижний колонтитул Знак"/>
    <w:basedOn w:val="864"/>
    <w:qFormat/>
  </w:style>
  <w:style w:type="character" w:styleId="877">
    <w:name w:val="Hyperlink"/>
    <w:rPr>
      <w:color w:val="000080"/>
      <w:u w:val="single"/>
    </w:rPr>
  </w:style>
  <w:style w:type="paragraph" w:styleId="878">
    <w:name w:val="Заголовок"/>
    <w:basedOn w:val="856"/>
    <w:next w:val="879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79">
    <w:name w:val="Body Text"/>
    <w:basedOn w:val="856"/>
    <w:pPr>
      <w:spacing w:before="0" w:after="140" w:line="276" w:lineRule="auto"/>
    </w:pPr>
  </w:style>
  <w:style w:type="paragraph" w:styleId="880">
    <w:name w:val="List"/>
    <w:basedOn w:val="879"/>
    <w:rPr>
      <w:rFonts w:ascii="PT Astra Serif" w:hAnsi="PT Astra Serif" w:cs="Noto Sans Devanagari"/>
    </w:rPr>
  </w:style>
  <w:style w:type="paragraph" w:styleId="881">
    <w:name w:val="Caption"/>
    <w:basedOn w:val="856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82">
    <w:name w:val="Указатель"/>
    <w:basedOn w:val="856"/>
    <w:qFormat/>
    <w:pPr>
      <w:suppressLineNumbers/>
    </w:pPr>
    <w:rPr>
      <w:rFonts w:ascii="PT Astra Serif" w:hAnsi="PT Astra Serif" w:cs="Noto Sans Devanagari"/>
    </w:rPr>
  </w:style>
  <w:style w:type="paragraph" w:styleId="883" w:default="1">
    <w:name w:val="Normal Table"/>
    <w:qFormat/>
    <w:pPr>
      <w:jc w:val="left"/>
      <w:spacing w:before="0" w:after="200" w:line="276" w:lineRule="auto"/>
      <w:widowControl/>
    </w:pPr>
    <w:rPr>
      <w:rFonts w:ascii="Times New Roman" w:hAnsi="Times New Roman" w:eastAsia="Cambria Math" w:cs="Times New Roman"/>
      <w:color w:val="auto"/>
      <w:sz w:val="22"/>
      <w:szCs w:val="22"/>
      <w:lang w:val="ru-RU" w:eastAsia="ru-RU" w:bidi="ar-SA"/>
    </w:rPr>
  </w:style>
  <w:style w:type="paragraph" w:styleId="884">
    <w:name w:val="Balloon Text"/>
    <w:basedOn w:val="856"/>
    <w:qFormat/>
    <w:pPr>
      <w:jc w:val="left"/>
      <w:widowControl w:val="off"/>
    </w:pPr>
    <w:rPr>
      <w:rFonts w:ascii="Tahoma" w:hAnsi="Tahoma" w:cs="Tahoma"/>
      <w:sz w:val="16"/>
      <w:szCs w:val="16"/>
      <w:lang w:val="ru-RU" w:eastAsia="ru-RU" w:bidi="ar-SA"/>
    </w:rPr>
  </w:style>
  <w:style w:type="paragraph" w:styleId="885">
    <w:name w:val="Normal (Web)"/>
    <w:basedOn w:val="856"/>
    <w:qFormat/>
    <w:pPr>
      <w:jc w:val="left"/>
      <w:spacing w:beforeAutospacing="1" w:afterAutospacing="1"/>
      <w:widowControl/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86">
    <w:name w:val="ConsPlusNonformat"/>
    <w:qFormat/>
    <w:pPr>
      <w:jc w:val="left"/>
      <w:widowControl w:val="off"/>
    </w:pPr>
    <w:rPr>
      <w:rFonts w:ascii="Courier New" w:hAnsi="Courier New" w:eastAsia="Cambria Math" w:cs="Courier New"/>
      <w:color w:val="auto"/>
      <w:sz w:val="20"/>
      <w:szCs w:val="20"/>
      <w:lang w:val="ru-RU" w:eastAsia="ru-RU" w:bidi="ar-SA"/>
    </w:rPr>
  </w:style>
  <w:style w:type="paragraph" w:styleId="887">
    <w:name w:val="Колонтитул"/>
    <w:basedOn w:val="856"/>
    <w:qFormat/>
  </w:style>
  <w:style w:type="paragraph" w:styleId="888">
    <w:name w:val="Header"/>
    <w:basedOn w:val="856"/>
    <w:pPr>
      <w:jc w:val="left"/>
      <w:widowControl w:val="off"/>
      <w:tabs>
        <w:tab w:val="clear" w:pos="720" w:leader="none"/>
        <w:tab w:val="center" w:pos="4677" w:leader="none"/>
        <w:tab w:val="right" w:pos="9355" w:leader="none"/>
      </w:tabs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89">
    <w:name w:val="Footer"/>
    <w:basedOn w:val="856"/>
    <w:pPr>
      <w:jc w:val="left"/>
      <w:widowControl w:val="off"/>
      <w:tabs>
        <w:tab w:val="clear" w:pos="720" w:leader="none"/>
        <w:tab w:val="center" w:pos="4677" w:leader="none"/>
        <w:tab w:val="right" w:pos="9355" w:leader="none"/>
      </w:tabs>
    </w:pPr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890">
    <w:name w:val="Содержимое врезки"/>
    <w:basedOn w:val="856"/>
    <w:qFormat/>
  </w:style>
  <w:style w:type="numbering" w:styleId="89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consultantplus://offline/ref=DC8A31F65F161539C1F218F431AFD7FAD85327B58E294FFC3142CE79909A7478E945AB3FE105C2E81Fi2K" TargetMode="External"/><Relationship Id="rId10" Type="http://schemas.openxmlformats.org/officeDocument/2006/relationships/hyperlink" Target="consultantplus://offline/ref=DC8A31F65F161539C1F218F431AFD7FADF5020B1822612F6391BC27B97952B6FEE0CA73EE105C21EiCK" TargetMode="External"/><Relationship Id="rId11" Type="http://schemas.openxmlformats.org/officeDocument/2006/relationships/hyperlink" Target="consultantplus://offline/main?base=LAW;n=116585;fld=134;dst=100365" TargetMode="External"/><Relationship Id="rId12" Type="http://schemas.openxmlformats.org/officeDocument/2006/relationships/hyperlink" Target="consultantplus://offline/ref=64AF406687F41B8ED1A4382B340E027C2028D9AD8F0D47054CE3C3A33FB8289814EFA6A48A2D2CLBA9H" TargetMode="External"/><Relationship Id="rId13" Type="http://schemas.openxmlformats.org/officeDocument/2006/relationships/hyperlink" Target="consultantplus://offline/ref=DC8A31F65F161539C1F218F431AFD7FADF5020B1822612F6391BC27B97952B6FEE0CA73EE105C21EiCK" TargetMode="External"/><Relationship Id="rId14" Type="http://schemas.openxmlformats.org/officeDocument/2006/relationships/hyperlink" Target="consultantplus://offline/ref=DC8A31F65F161539C1F218F431AFD7FAD85321B88E2E4FFC3142CE79909A7478E945AB3FE105C1EE1Fi3K" TargetMode="External"/><Relationship Id="rId15" Type="http://schemas.openxmlformats.org/officeDocument/2006/relationships/hyperlink" Target="consultantplus://offline/ref=DC8A31F65F161539C1F218F431AFD7FAD85321B88E2E4FFC3142CE79909A7478E945AB3FE105C1EF1Fi3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user</dc:creator>
  <dc:description/>
  <dc:language>ru-RU</dc:language>
  <cp:revision>24</cp:revision>
  <dcterms:created xsi:type="dcterms:W3CDTF">2019-01-14T10:57:00Z</dcterms:created>
  <dcterms:modified xsi:type="dcterms:W3CDTF">2025-06-23T14:42:18Z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Елена Шиповская</vt:lpwstr>
  </property>
</Properties>
</file>