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E6" w:rsidRDefault="003A56E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3A56E6" w:rsidRDefault="003A56E6">
      <w:pPr>
        <w:pStyle w:val="ConsPlusNormal"/>
        <w:jc w:val="both"/>
        <w:outlineLvl w:val="0"/>
      </w:pPr>
    </w:p>
    <w:p w:rsidR="003A56E6" w:rsidRDefault="003A56E6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3A56E6" w:rsidRDefault="003A56E6">
      <w:pPr>
        <w:pStyle w:val="ConsPlusTitle"/>
        <w:jc w:val="center"/>
      </w:pPr>
      <w:r>
        <w:t>БЕЛГОРОДСКОЙ ОБЛАСТИ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ПОСТАНОВЛЕНИЕ</w:t>
      </w:r>
    </w:p>
    <w:p w:rsidR="003A56E6" w:rsidRDefault="003A56E6">
      <w:pPr>
        <w:pStyle w:val="ConsPlusTitle"/>
        <w:jc w:val="center"/>
      </w:pPr>
      <w:r>
        <w:t>от 10 октября 2013 г. N 2458-па</w:t>
      </w:r>
    </w:p>
    <w:p w:rsidR="003A56E6" w:rsidRDefault="003A56E6">
      <w:pPr>
        <w:pStyle w:val="ConsPlusTitle"/>
        <w:jc w:val="center"/>
      </w:pPr>
    </w:p>
    <w:p w:rsidR="003A56E6" w:rsidRDefault="003A56E6">
      <w:pPr>
        <w:pStyle w:val="ConsPlusTitle"/>
        <w:jc w:val="center"/>
      </w:pPr>
      <w:r>
        <w:t>ОБ УТВЕРЖДЕНИИ МУНИЦИПАЛЬНОЙ ПРОГРАММЫ "РАЗВИТИЕ</w:t>
      </w:r>
    </w:p>
    <w:p w:rsidR="003A56E6" w:rsidRDefault="003A56E6">
      <w:pPr>
        <w:pStyle w:val="ConsPlusTitle"/>
        <w:jc w:val="center"/>
      </w:pPr>
      <w:r>
        <w:t>ЭКОНОМИЧЕСКОГО 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5">
              <w:r>
                <w:rPr>
                  <w:color w:val="0000FF"/>
                </w:rPr>
                <w:t>N 904-па</w:t>
              </w:r>
            </w:hyperlink>
            <w:r>
              <w:rPr>
                <w:color w:val="392C69"/>
              </w:rPr>
              <w:t xml:space="preserve">, от 22.08.2014 </w:t>
            </w:r>
            <w:hyperlink r:id="rId6">
              <w:r>
                <w:rPr>
                  <w:color w:val="0000FF"/>
                </w:rPr>
                <w:t>N 1904-па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25.03.2015 </w:t>
            </w:r>
            <w:hyperlink r:id="rId7">
              <w:r>
                <w:rPr>
                  <w:color w:val="0000FF"/>
                </w:rPr>
                <w:t>N 619-па</w:t>
              </w:r>
            </w:hyperlink>
            <w:r>
              <w:rPr>
                <w:color w:val="392C69"/>
              </w:rPr>
              <w:t xml:space="preserve">, от 29.12.2015 </w:t>
            </w:r>
            <w:hyperlink r:id="rId8">
              <w:r>
                <w:rPr>
                  <w:color w:val="0000FF"/>
                </w:rPr>
                <w:t>N 2609-па</w:t>
              </w:r>
            </w:hyperlink>
            <w:r>
              <w:rPr>
                <w:color w:val="392C69"/>
              </w:rPr>
              <w:t xml:space="preserve">, от 29.12.2016 </w:t>
            </w:r>
            <w:hyperlink r:id="rId9">
              <w:r>
                <w:rPr>
                  <w:color w:val="0000FF"/>
                </w:rPr>
                <w:t>N 2789-па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10">
              <w:r>
                <w:rPr>
                  <w:color w:val="0000FF"/>
                </w:rPr>
                <w:t>N 2033-па</w:t>
              </w:r>
            </w:hyperlink>
            <w:r>
              <w:rPr>
                <w:color w:val="392C69"/>
              </w:rPr>
              <w:t xml:space="preserve">, от 25.04.2018 </w:t>
            </w:r>
            <w:hyperlink r:id="rId11">
              <w:r>
                <w:rPr>
                  <w:color w:val="0000FF"/>
                </w:rPr>
                <w:t>N 633-па</w:t>
              </w:r>
            </w:hyperlink>
            <w:r>
              <w:rPr>
                <w:color w:val="392C69"/>
              </w:rPr>
              <w:t xml:space="preserve">, от 24.08.2018 </w:t>
            </w:r>
            <w:hyperlink r:id="rId12">
              <w:r>
                <w:rPr>
                  <w:color w:val="0000FF"/>
                </w:rPr>
                <w:t>N 1362-па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3">
              <w:r>
                <w:rPr>
                  <w:color w:val="0000FF"/>
                </w:rPr>
                <w:t>N 2175-па</w:t>
              </w:r>
            </w:hyperlink>
            <w:r>
              <w:rPr>
                <w:color w:val="392C69"/>
              </w:rPr>
              <w:t xml:space="preserve">, от 18.09.2019 </w:t>
            </w:r>
            <w:hyperlink r:id="rId14">
              <w:r>
                <w:rPr>
                  <w:color w:val="0000FF"/>
                </w:rPr>
                <w:t>N 1612-па</w:t>
              </w:r>
            </w:hyperlink>
            <w:r>
              <w:rPr>
                <w:color w:val="392C69"/>
              </w:rPr>
              <w:t xml:space="preserve">, от 25.12.2019 </w:t>
            </w:r>
            <w:hyperlink r:id="rId15">
              <w:r>
                <w:rPr>
                  <w:color w:val="0000FF"/>
                </w:rPr>
                <w:t>N 2250-па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28.08.2020 </w:t>
            </w:r>
            <w:hyperlink r:id="rId16">
              <w:r>
                <w:rPr>
                  <w:color w:val="0000FF"/>
                </w:rPr>
                <w:t>N 1164-па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7">
              <w:r>
                <w:rPr>
                  <w:color w:val="0000FF"/>
                </w:rPr>
                <w:t>N 1945-па</w:t>
              </w:r>
            </w:hyperlink>
            <w:r>
              <w:rPr>
                <w:color w:val="392C69"/>
              </w:rPr>
              <w:t xml:space="preserve">, от 01.04.2021 </w:t>
            </w:r>
            <w:hyperlink r:id="rId18">
              <w:r>
                <w:rPr>
                  <w:color w:val="0000FF"/>
                </w:rPr>
                <w:t>N 448-па</w:t>
              </w:r>
            </w:hyperlink>
            <w:r>
              <w:rPr>
                <w:color w:val="392C69"/>
              </w:rPr>
              <w:t>,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14.10.2021 </w:t>
            </w:r>
            <w:hyperlink r:id="rId19">
              <w:r>
                <w:rPr>
                  <w:color w:val="0000FF"/>
                </w:rPr>
                <w:t>N 1636-па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20">
              <w:r>
                <w:rPr>
                  <w:color w:val="0000FF"/>
                </w:rPr>
                <w:t>N 2223-па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21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22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23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</w:t>
      </w:r>
      <w:hyperlink r:id="rId24">
        <w:r>
          <w:rPr>
            <w:color w:val="0000FF"/>
          </w:rPr>
          <w:t>постановлением</w:t>
        </w:r>
      </w:hyperlink>
      <w:r>
        <w:t xml:space="preserve"> администрации Губкинского городского округа от 6 июня 2013 года N 1335-па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 постановляю:</w:t>
      </w:r>
    </w:p>
    <w:p w:rsidR="003A56E6" w:rsidRDefault="003A56E6">
      <w:pPr>
        <w:pStyle w:val="ConsPlusNormal"/>
        <w:jc w:val="both"/>
      </w:pPr>
      <w:r>
        <w:t xml:space="preserve">(преамбула 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1. Утвердить прилагаемую муниципальную </w:t>
      </w:r>
      <w:hyperlink w:anchor="P51">
        <w:r>
          <w:rPr>
            <w:color w:val="0000FF"/>
          </w:rPr>
          <w:t>программу</w:t>
        </w:r>
      </w:hyperlink>
      <w:r>
        <w:t xml:space="preserve"> "Развитие экономического потенциала и формирование благоприятного предпринимательского климата в Губкинском городском округе Белгородской области" (далее - Программа).</w:t>
      </w:r>
    </w:p>
    <w:p w:rsidR="003A56E6" w:rsidRDefault="003A56E6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27.12.2018 </w:t>
      </w:r>
      <w:hyperlink r:id="rId26">
        <w:r>
          <w:rPr>
            <w:color w:val="0000FF"/>
          </w:rPr>
          <w:t>N 2175-па</w:t>
        </w:r>
      </w:hyperlink>
      <w:r>
        <w:t xml:space="preserve">, от 26.12.2020 </w:t>
      </w:r>
      <w:hyperlink r:id="rId27">
        <w:r>
          <w:rPr>
            <w:color w:val="0000FF"/>
          </w:rPr>
          <w:t>N 1945-па</w:t>
        </w:r>
      </w:hyperlink>
      <w:r>
        <w:t>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2. Управлению финансов и бюджетной политики администрации (Нечепаева О.М.) предусмотреть в бюджете Губкинского городского округа Белгородской области денежные средства на финансирование мероприятий Программы.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4. Считать утратившими силу с 1 января 2014 года постановления администрации Губкинского городского округа: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28 марта 2013 года </w:t>
      </w:r>
      <w:hyperlink r:id="rId29">
        <w:r>
          <w:rPr>
            <w:color w:val="0000FF"/>
          </w:rPr>
          <w:t>N 670-па</w:t>
        </w:r>
      </w:hyperlink>
      <w:r>
        <w:t xml:space="preserve"> "Об утверждении долгосрочной целевой программы "Развитие общественного питания на территории Губкинского городского округа на 2013 - 2017 годы";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от 6 декабря 2012 года </w:t>
      </w:r>
      <w:hyperlink r:id="rId30">
        <w:r>
          <w:rPr>
            <w:color w:val="0000FF"/>
          </w:rPr>
          <w:t>N 2390-па</w:t>
        </w:r>
      </w:hyperlink>
      <w:r>
        <w:t xml:space="preserve">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5. Контроль за исполнением постановления возложить на заместителя главы администрации Сотник Л.А.</w:t>
      </w:r>
    </w:p>
    <w:p w:rsidR="003A56E6" w:rsidRDefault="003A56E6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</w:t>
      </w:r>
      <w:r>
        <w:lastRenderedPageBreak/>
        <w:t>26.12.2020 N 1945-па)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Глава администрации</w:t>
      </w:r>
    </w:p>
    <w:p w:rsidR="003A56E6" w:rsidRDefault="003A56E6">
      <w:pPr>
        <w:pStyle w:val="ConsPlusNormal"/>
        <w:jc w:val="right"/>
      </w:pPr>
      <w:r>
        <w:t>А.КРЕТОВ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0"/>
      </w:pPr>
      <w:r>
        <w:t>Утверждена</w:t>
      </w:r>
    </w:p>
    <w:p w:rsidR="003A56E6" w:rsidRDefault="003A56E6">
      <w:pPr>
        <w:pStyle w:val="ConsPlusNormal"/>
        <w:jc w:val="right"/>
      </w:pPr>
      <w:r>
        <w:t>постановлением</w:t>
      </w:r>
    </w:p>
    <w:p w:rsidR="003A56E6" w:rsidRDefault="003A56E6">
      <w:pPr>
        <w:pStyle w:val="ConsPlusNormal"/>
        <w:jc w:val="right"/>
      </w:pPr>
      <w:r>
        <w:t>администрации Губкинского</w:t>
      </w:r>
    </w:p>
    <w:p w:rsidR="003A56E6" w:rsidRDefault="003A56E6">
      <w:pPr>
        <w:pStyle w:val="ConsPlusNormal"/>
        <w:jc w:val="right"/>
      </w:pPr>
      <w:r>
        <w:t>городского округа</w:t>
      </w:r>
    </w:p>
    <w:p w:rsidR="003A56E6" w:rsidRDefault="003A56E6">
      <w:pPr>
        <w:pStyle w:val="ConsPlusNormal"/>
        <w:jc w:val="right"/>
      </w:pPr>
      <w:r>
        <w:t>от 10 октября 2013 г. N 2458-па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0" w:name="P51"/>
      <w:bookmarkEnd w:id="0"/>
      <w:r>
        <w:t>МУНИЦИПАЛЬНАЯ ПРОГРАММА</w:t>
      </w:r>
    </w:p>
    <w:p w:rsidR="003A56E6" w:rsidRDefault="003A56E6">
      <w:pPr>
        <w:pStyle w:val="ConsPlusTitle"/>
        <w:jc w:val="center"/>
      </w:pPr>
      <w:r>
        <w:t>ГУБКИНСКОГО ГОРОДСКОГО ОКРУГА "РАЗВИТИЕ ЭКОНОМИЧЕСКОГО</w:t>
      </w:r>
    </w:p>
    <w:p w:rsidR="003A56E6" w:rsidRDefault="003A56E6">
      <w:pPr>
        <w:pStyle w:val="ConsPlusTitle"/>
        <w:jc w:val="center"/>
      </w:pPr>
      <w:r>
        <w:t>ПОТЕНЦИАЛА И ФОРМИРОВАНИЕ БЛАГОПРИЯТНОГО</w:t>
      </w:r>
    </w:p>
    <w:p w:rsidR="003A56E6" w:rsidRDefault="003A56E6">
      <w:pPr>
        <w:pStyle w:val="ConsPlusTitle"/>
        <w:jc w:val="center"/>
      </w:pPr>
      <w:r>
        <w:t>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</w:t>
      </w:r>
    </w:p>
    <w:p w:rsidR="003A56E6" w:rsidRDefault="003A56E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3A56E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A56E6" w:rsidRDefault="003A56E6">
            <w:pPr>
              <w:pStyle w:val="ConsPlusNormal"/>
            </w:pP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Паспорт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 (далее - Программа)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политики), 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1. </w:t>
            </w:r>
            <w:hyperlink w:anchor="P430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общественного питания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2. </w:t>
            </w:r>
            <w:hyperlink w:anchor="P722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торговли на территории Губкинского городского округа Белгородской области".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3. </w:t>
            </w:r>
            <w:hyperlink w:anchor="P1027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и поддержка малого и среднего предпринимательства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Задача 1. Максимально полное удовлетворение потребностей населения городского округа в услугах общественного питания за </w:t>
            </w:r>
            <w:r>
              <w:lastRenderedPageBreak/>
              <w:t>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      </w:r>
          </w:p>
          <w:p w:rsidR="003A56E6" w:rsidRDefault="003A56E6">
            <w:pPr>
              <w:pStyle w:val="ConsPlusNormal"/>
              <w:jc w:val="both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Программы на 2014 - 2025 годы - 86402,412 тыс. рублей, в том числе за счет средств федерального бюджета </w:t>
            </w:r>
            <w:hyperlink w:anchor="P158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- 4217,112 тыс. руб., средств иных источников - 14443,6 тыс. руб.,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- 69,512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- 161,5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- 248,0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- 522,2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- 1699,9 тыс.,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- 745,0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- 116,0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2024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- 126,0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Программы, кроме того, предусмотрено в 2014 - 2025 годах предоставление муниципальной гарантии Губкинского городского округа Белгородской области в объеме 3 млн. рублей. </w:t>
            </w:r>
            <w:hyperlink w:anchor="P156">
              <w:r>
                <w:rPr>
                  <w:color w:val="0000FF"/>
                </w:rPr>
                <w:t>&lt;*&gt;</w:t>
              </w:r>
            </w:hyperlink>
            <w:r>
              <w:t xml:space="preserve"> Объемы финансирования мероприятий Программы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2. Обеспеченность торговыми площадями на 1 тысячу жителей.</w:t>
            </w:r>
          </w:p>
          <w:p w:rsidR="003A56E6" w:rsidRDefault="003A56E6">
            <w:pPr>
              <w:pStyle w:val="ConsPlusNormal"/>
              <w:jc w:val="both"/>
            </w:pPr>
            <w:r>
              <w:t>3. Доля занятых в малом и среднем бизнесе, включая ИП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Программы </w:t>
            </w:r>
            <w:hyperlink w:anchor="P157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К 2025 году планируется достижение следующих целевых показателей: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количества посадочных мест в предприятиях общественного питания до 9600 ед.;</w:t>
            </w:r>
          </w:p>
          <w:p w:rsidR="003A56E6" w:rsidRDefault="003A56E6">
            <w:pPr>
              <w:pStyle w:val="ConsPlusNormal"/>
              <w:jc w:val="both"/>
            </w:pPr>
            <w:r>
              <w:t>- рост обеспеченности торговыми площадями на 1 тысячу жителей до 788,6 кв. м;</w:t>
            </w:r>
          </w:p>
          <w:p w:rsidR="003A56E6" w:rsidRDefault="003A56E6">
            <w:pPr>
              <w:pStyle w:val="ConsPlusNormal"/>
              <w:jc w:val="both"/>
            </w:pPr>
            <w:r>
              <w:t>- увеличение доли занятых в малом и среднем бизнесе, включая ИП, в общей численности до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1" w:name="P156"/>
      <w:bookmarkEnd w:id="1"/>
      <w:r>
        <w:t>&lt;*&gt; решением Совета депутатов Губкинского городского округа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годом.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2" w:name="P157"/>
      <w:bookmarkEnd w:id="2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3" w:name="P158"/>
      <w:bookmarkEnd w:id="3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3A56E6" w:rsidRDefault="003A56E6">
      <w:pPr>
        <w:pStyle w:val="ConsPlusTitle"/>
        <w:jc w:val="center"/>
      </w:pPr>
      <w:r>
        <w:t>в том числе формулировки основных проблем</w:t>
      </w:r>
    </w:p>
    <w:p w:rsidR="003A56E6" w:rsidRDefault="003A56E6">
      <w:pPr>
        <w:pStyle w:val="ConsPlusTitle"/>
        <w:jc w:val="center"/>
      </w:pPr>
      <w:r>
        <w:t>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По данным департамента экономического развития Белгородской области, объем валового муниципального продукта Губкинского городского округа Белгородской области (далее - ВМП городского округа) в 2013 году в основных текущих ценах составил 73020,12 млн. рублей, удельный вес в валовом региональном продукте Белгородской области (далее - ВРП Белгородской области) - 12,74% (третье место среди муниципальных районов Белгородской области). Основной вклад в ВМП городского округа в 2013 году внесли виды деятельности по добыче полезных ископаемых, обрабатывающие производства, доля которых составила 77,07%. Далее следуют такие виды экономической деятельности, как сельское хозяйство, оптовая и розничная торговля, строительство. Совокупная доля перечисленных видов экономической деятельности в общем объеме ВМП городского округа за 2013 год составила 89,72%.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Оборот розничной торговли в городском округе, по данным за 2013 год, составил 14,5 млрд. рублей, что в сопоставимых ценах на 3,9% выше показателей прошлого года. В физическом объеме к уровню 2008 года значение показателя выросло в 2,8 раза, опередив среднероссийские темпы роста. На долю городского округа приходится 6,5% общего объема оборота розничной торговли области в 2013 году. В расчете на душу населения оборот розничной торговли составил 120 тыс. рублей, что ниже областного значения.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году 262,5 млн.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 Обеспеченность торговыми площадями в расчете на 1000 жителей составила 603 кв. метра.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городского округа в эксплуатацию введены 42 магазина. 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3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Сохраняя устойчивые темпы роста экономики на протяжении последних 3 лет, городской округ является одним из лидеров экономического роста. Однако в 2009 году в результате мирового финансово-экономического кризиса ВМП городского округа снизился (в действующих ценах) на 34,6% относительно уровня 2008 года. В сравнении с динамикой ВРП Белгородской области и крупных промышленных муниципальных образований области экономика Губкинского городского округа Белгородской области испытала одно из самых существенных сокращений.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общим макроэкономическим рискам развития экономического потенциала Губкинского городского округа Белгородской области можно отнести: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а) рост инфраструктурных ограничений. Прежде всего, это касается электроэнергетической инфраструктуры: имеет место дефицит пропускной способности основной сети в электроснабжении промышленного узла Южные Коробки и других территориальных образований; имеется значительное количество дефицитных центров питания потребителей по пропускной способности распределительной сети и мощности подстанций. Другим инфраструктурным ограничением в Губкинском городском округе Белгородской области является дефицит природного газа, который негативно сказывается на конкурентоспособности предприятий электроэнергетики и всего промышленного комплекса, а также может в будущем поставить под сомнение реализацию крупных индустриальных проектов. Существуют ограничения для социально-экономического развития в состоянии транспортной инфраструктуры;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интенсификация конкуренции за рынки сбыта продукции и за ресурсы развития. Во-первых, конкуренция на рынках специализации городского округа (металлургия, легкая промышленность, АПК и другие отрасли) будет только усиливаться. Катализатором, стимулирующим еще большее усиление позиций импорта по отдельным товарным группам, может стать вступление России во Всемирную торговую организацию. Во-вторых, обостряются проблемы конкуренции за ограниченные ресурсы развития на уровне субъектов Российской Федерации, когда регионы стремятся создать привлекательные, уникальные условия для привлечения инвесторов на свои территории. В результате соперничество с соседними регионами за бюджетные и частные инвестиции будет расти;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ухудшение конъюнктуры на мировых рынках специализации. Данное явление может привести к снижению спроса на продукцию производителей. С другой стороны, нестабильность мировых резервных валют, имеющая место в последние годы и прогнозируемая в ближайшей перспективе, будет негативно влиять на конкурентоспособность отечественных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Губкинского городского округа Белгородской области, можно выделить следующие проблемы: слабо развит сегмент по оказанию услуг общественного питания в отдаленных и малочисленных населенных пунктах;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сфере торговли на территории Губкинского городского округа Белгородской области сложились следующие проблемы: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малого и среднего предпринимательства Губкинского городского округа Белгородской области,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Содержание и мероприятия Программы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Программы соответствуют второму стратегическому направлению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позволит обеспечить достижение цели и решение поставленных задач за счет концентрации и координации финансовых, имущественных и организационных ресурсов, увязки сроков реализации мероприятий и объемов их финансирования с ожидаемыми результатами, а также будет являться важным инструментом увеличения экономического потенциала Губкинского городского округа Белгородской области.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3A56E6" w:rsidRDefault="003A56E6">
      <w:pPr>
        <w:pStyle w:val="ConsPlusTitle"/>
        <w:jc w:val="center"/>
      </w:pPr>
      <w:r>
        <w:t>Программы, цели, задачи и показатели достижения целей</w:t>
      </w:r>
    </w:p>
    <w:p w:rsidR="003A56E6" w:rsidRDefault="003A56E6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3A56E6" w:rsidRDefault="003A56E6">
      <w:pPr>
        <w:pStyle w:val="ConsPlusTitle"/>
        <w:jc w:val="center"/>
      </w:pPr>
      <w:r>
        <w:t>Программы, сроков и этапов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Приоритеты социально-экономического развития Губкинского городского округа Белгородской </w:t>
      </w:r>
      <w:r>
        <w:lastRenderedPageBreak/>
        <w:t>области отражены во втором стратегическом направлении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стратегическим задачам развития экономического потенциала Губкинского городского округа Белгородской области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институциональной среды инновационного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благоприятного инвестиционного климата для развития экономики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сельского хозяйства и промышленности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информационное обеспечение инновационного развития экономики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Исходя из обозначенных стратегических задач и приоритетов целью Программы является создание условий для увеличения экономического потенциала Губкинского городского округа Белгородской области, формирование благоприятного предпринимательского климата и повышение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достижения поставленной цели потребуется решение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развития. В результате реализации Программы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количество посадочных мест в предприятиях общественного питания,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- 9521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- 9700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- 9850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- 9900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- 9950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- 9360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- 9450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- 9470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- 9475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- 9500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- 9550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- 9600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обеспеченность торговыми площадями на 1 тысячу жителей,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- 602,0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2015 год - 625,0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- 630,0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- 641,7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- 658,3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- 680,0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- 691,6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- 747,9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- 758,4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- 772,5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- 786,5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- 788,6 кв. 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доля занятых в малом и среднем бизнесе, включая ИП,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Программой, будет способствовать увеличению экономического потенциала Губкинского городского округа Белгородской области, формированию благоприятного предпринимательского климата и повышению активности бизнеса.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реализуется в 2014 - 2025 годах, I этап: 2014 - 2020 годы, II этап: 2021 - 2025 годы. Показатели конечного результата реализации Программы по годам реализации, показатели конечного и непосредственного результатов подпрограмм представлены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Программы и подпрограмм,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3A56E6" w:rsidRDefault="003A56E6">
      <w:pPr>
        <w:pStyle w:val="ConsPlusTitle"/>
        <w:jc w:val="center"/>
      </w:pPr>
      <w:r>
        <w:t>самоуправления Губкинского городского округа Белгородской</w:t>
      </w:r>
    </w:p>
    <w:p w:rsidR="003A56E6" w:rsidRDefault="003A56E6">
      <w:pPr>
        <w:pStyle w:val="ConsPlusTitle"/>
        <w:jc w:val="center"/>
      </w:pPr>
      <w:r>
        <w:t>области, принятие или изменение которых необходимо</w:t>
      </w:r>
    </w:p>
    <w:p w:rsidR="003A56E6" w:rsidRDefault="003A56E6">
      <w:pPr>
        <w:pStyle w:val="ConsPlusTitle"/>
        <w:jc w:val="center"/>
      </w:pPr>
      <w:r>
        <w:t>для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 xml:space="preserve">Перечень муниципальных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Программы, представлен в </w:t>
      </w:r>
      <w:hyperlink w:anchor="P2330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цель и обеспечить решение задач Программы, и состоит из 3 подпрограмм: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</w:t>
      </w:r>
      <w:hyperlink w:anchor="P722">
        <w:r>
          <w:rPr>
            <w:color w:val="0000FF"/>
          </w:rPr>
          <w:t>Подпрограмма</w:t>
        </w:r>
      </w:hyperlink>
      <w:r>
        <w:t xml:space="preserve"> "Развитие общественного питания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стабилизацию процессов в сфере общественного питания для обслуживания населения, возрождение и развитие кулинарной индустрии, организацию общедоступной сети с национальным, традиционным ассортиментом российской и иностранных кухонь, обеспечение рабочими местами специалистов - выпускников учебных заведений общественного питания, повышение квалификации работников основных профессий отрасли, организацию и проведение профессиональных городских конкурсов с целью повышения профессионального мастерства.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 интенсивное развитие сферы общественного питания, повышение качества и безопасности услуг, увеличение оборота общественного питания до 653,7 млн. рублей к 2025 году; увеличение оборота общественного питания на душу населения до 5600 рублей к 2025 году; увеличение показателя обеспеченности населения посадочными местами в предприятиях общественного питания до 83 единиц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2. </w:t>
      </w:r>
      <w:hyperlink w:anchor="P430">
        <w:r>
          <w:rPr>
            <w:color w:val="0000FF"/>
          </w:rPr>
          <w:t>Подпрограмма</w:t>
        </w:r>
      </w:hyperlink>
      <w:r>
        <w:t xml:space="preserve"> "Развитие торговли на территории Губкинского городского округа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экономических условий для повышения эффективности деятельности хозяйствующих субъектов потребительского рынка Губкинского городского округа Белгородской области всех форм собственности, более полного удовлетворения потребностей всех слоев населения в доступных и качественных товарах в цивилизованных формах его организации, повышения культуры обслуживания.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осуществляющими торговую деятельность и хозяйствующими субъектами, осуществляющими производство (поставки) товаров на территории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позволит обеспечить увеличение розничного товарооборота до 32,9 млрд. рублей к 2025 году, увеличение розничного товарооборота на душу населения до 282,7 тыс. рублей к 2025 году, увеличение показателя обеспеченности населения торговыми площадями в предприятиях торговли до 788,6 кв. м на 1 тысячу жителей к 2025 году.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 </w:t>
      </w:r>
      <w:hyperlink w:anchor="P1027">
        <w:r>
          <w:rPr>
            <w:color w:val="0000FF"/>
          </w:rPr>
          <w:t>Подпрограмма</w:t>
        </w:r>
      </w:hyperlink>
      <w:r>
        <w:t xml:space="preserve"> "Развитие и поддержка малого и среднего предпринимательства в Губкинском городском округе Белгородской области".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направлена на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подпрограммы решаются задачи: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содействие участию в ремесленной и выставочно-ярмарочной деятельности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сельскохозяйственной деятельности малого и среднего предпринимательства в форме возмещения части процентной ставки по кредитам КФХ и ЛПХ;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оказание содействия субъектам малого и среднего предпринимательства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 подпрограммы обеспечит: уровень годового оборота малых и средних предприятий в действующих ценах 27,3 млрд. рублей в 2025 году; достижение уровня доли занятых в малом и среднем бизнесе, включая ИП, в общей численности занятых к 2025 году - 31,1%.</w:t>
      </w:r>
    </w:p>
    <w:p w:rsidR="003A56E6" w:rsidRDefault="003A56E6">
      <w:pPr>
        <w:pStyle w:val="ConsPlusNormal"/>
        <w:spacing w:before="200"/>
        <w:ind w:firstLine="540"/>
        <w:jc w:val="both"/>
      </w:pPr>
      <w:hyperlink w:anchor="P1559">
        <w:r>
          <w:rPr>
            <w:color w:val="0000FF"/>
          </w:rPr>
          <w:t>Система</w:t>
        </w:r>
      </w:hyperlink>
      <w:r>
        <w:t xml:space="preserve"> основных мероприятий и показателей подпрограмм представлена в приложении N 1 к Программе. Сроки реализации подпрограмм совпадают со сроками реализации Программы в целом: 2014 - 2025 годы, I этап: 2014 - 2020 годы, II этап: 2021 - 2025 годы.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1"/>
      </w:pPr>
      <w:r>
        <w:t>5. Ресурсное обеспечение Программы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Программы на 2014 - 2025 годы, I этап: 2014 - 2020 годы, II этап: 2021 - 2025 годы представлены в таблицах 1 и 2.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Title"/>
        <w:jc w:val="center"/>
        <w:outlineLvl w:val="2"/>
      </w:pPr>
      <w:r>
        <w:t>Объемы финансирования Программы по годам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44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204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 xml:space="preserve">Источник </w:t>
            </w:r>
            <w:r>
              <w:lastRenderedPageBreak/>
              <w:t>финансирования</w:t>
            </w:r>
          </w:p>
        </w:tc>
        <w:tc>
          <w:tcPr>
            <w:tcW w:w="11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 xml:space="preserve">Всего за </w:t>
            </w:r>
            <w:r>
              <w:lastRenderedPageBreak/>
              <w:t>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В том числе по годам реализации:</w:t>
            </w:r>
          </w:p>
        </w:tc>
      </w:tr>
      <w:tr w:rsidR="003A56E6">
        <w:tc>
          <w:tcPr>
            <w:tcW w:w="204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85782,412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3597,112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204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14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361"/>
        <w:gridCol w:w="737"/>
        <w:gridCol w:w="680"/>
        <w:gridCol w:w="680"/>
        <w:gridCol w:w="737"/>
        <w:gridCol w:w="737"/>
      </w:tblGrid>
      <w:tr w:rsidR="003A56E6">
        <w:tc>
          <w:tcPr>
            <w:tcW w:w="41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36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571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41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36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Всего, в том числе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областной бюджет Белгородской области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4139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136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соответственно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r>
        <w:t>6. Анализ рисков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и описание мер управления рисками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1. Макроэкономические риски связаны с вероятностью кризисных явлений в российской экономике, снижения темпов инвестиционной активности, высокой инфляцией и колебаниями мировых цен на железорудное сырье и металлопродукцию, которые могут привести к снижению объемов финансирования программных мероприятий из средств бюджета городского округа. Возникновение данных рисков может привести к недофинансированию запланированных </w:t>
      </w:r>
      <w:r>
        <w:lastRenderedPageBreak/>
        <w:t>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Снижение данных рисков предусматривается в рамках мероприятий подпрограмм, направленных на формирование благоприятного предпринимательского климата и экономическое стимулирование малого и среднего бизнеса для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ежегодное уточнение объемов финансовых средств на реализацию мероприятий Программы, в зависимости от достигнутых результатов;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определение приоритетов для первоочередного финансирования;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применение методик оценки эффективности бюджетных расходов.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 Правовые риски связаны с изменениями законодательства, длительностью формирования правовой базы, необходимой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Для минимизации данных рисков в рамках реализации Программы планируется на этапе разработки проектов муниципальных правовых актов привлекать к их обсуждению основные заинтересованные стороны, а также вести мониторинг изменений в федеральном и региональном законодательстве.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4.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выявление потенциальных рисков путем мониторинга основных социально-экономических и финансовых показателей;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5.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 Основные условия минимизации административных рисков: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эффективной системы управления реализацией Программы и ее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регулярная публикация в СМИ отчетов о ходе реализации Программы и подпрограмм;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взаимодействия участников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системы мониторинга реализации Программы;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своевременная корректировка мероприятий Программы.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Управление рисками будет осуществляться в соответствии с федеральным, региональным и местным законодательством.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4" w:name="P430"/>
      <w:bookmarkEnd w:id="4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общественного питания на территории Губкинского</w:t>
      </w:r>
    </w:p>
    <w:p w:rsidR="003A56E6" w:rsidRDefault="003A56E6">
      <w:pPr>
        <w:pStyle w:val="ConsPlusTitle"/>
        <w:jc w:val="center"/>
      </w:pPr>
      <w:r>
        <w:t>городского 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общественного питания на территории Губкинского городского округа Белгородской области" (далее - подпрограмма 1)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обслуживания населения Губкинского городского округа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сферы общественного питания в сельской местности, в том числе в отдаленных 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 для развития общедоступной сети и предприятий общественного питания на туристических маршрутах;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предоставления услуг общественного питания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1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1 на 2014 - 2025 годы составляет 356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1.1. Объем товарооборота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1.2. Оборот общественного питания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1.3. Количество посадочных мест в предприятиях общественного питания.</w:t>
            </w:r>
          </w:p>
          <w:p w:rsidR="003A56E6" w:rsidRDefault="003A56E6">
            <w:pPr>
              <w:pStyle w:val="ConsPlusNormal"/>
              <w:jc w:val="both"/>
            </w:pPr>
            <w:r>
              <w:t>1.4. Обеспеченность населения посадочными местами в предприятиях общественного питания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оборота общественного питания до 653,7 млн.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оборота общественного питания на душу населения до 5,6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Количество посадочных мест в предприятиях общественного питания не менее 9600 ед.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Обеспечение населения посадочными местами в предприятиях общественного питания до 83 единицы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На начало 2014 года на рынке услуг общественного питания городского округа функционировало 165 предприятий общественного питания. Общее количество посадочных мест предприятий общественного питания составило 9150 единиц. В среднем на 1 тысячу жителей приходится 75,6 посадочных места, в том числе в общедоступной сети 42 посадочных места.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2012 году оборот общественного питания составил 346,1 млн. рублей, в 2011 году - 280,6 млн. рублей, в 2010 - году 262,5 млн. рублей. В расчете на душу населения в 2012 году оборот общественного питания составил 2860 рублей, что к соответствующему периоду предыдущего года составляет 123,4%.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Структура предприятий общественного питания в разрезе классификации типов предприятий общественного питания по состоянию на 1 января 2014 года представлена следующим образом: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рестораны - 7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бары - 6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кафе - 26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пиццерии - 2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(закрытая сеть) - 74 ед.; в том числе при промышленных предприятиях - 37 ед., школьные столовые - 37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столовые (общедоступная сеть) - 4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закусочные - 28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буфеты - 13 ед.;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кулинарии - 5 ед.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большое распространение получило открытие отделов по продаже полуфабрикатов и готовой продукции в предприятиях торговли (Гипермаркет "Линия"; ТЦ "Европа"; мясные лавки и т.д.).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предоставления услуг общественного питания на потребительском рынке городского округа,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слабо развит сегмент по оказанию услуг общественного питания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недостаточное количество специализированных организаций диетического питания, детских и студенческих кафе.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ориентированный, облик потребительского рынка товаров и услуг городского округа, будет способствовать поддержанию высоких темпов развития отрасли, расширению предложения товаров и услуг,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Программа кадрового обеспечения предприятий общественного питания предполагает </w:t>
      </w:r>
      <w:r>
        <w:lastRenderedPageBreak/>
        <w:t>систему подготовки, переподготовки и повышения квалификации кадров по следующим направлениям: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управленческие кадры предприятий и организаций различных форм собственности, функционирующих на потребительском рынке (улучшение профессиональной подготовки руководителей и специалистов коммерческих организаций является одним из условий обеспечения социально-экономической стабильности и развития отрасли);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кадры массовых профессий (наличие профессиональных знаний у работников, непосредственно занятых обслуживанием в сфере общественного питания, обеспечит высокое качество услуг, предоставляемых потребителям).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предпочтение отдается грамотным и инициативным специалистам, имеющим среднее профессиональное образование. В Губкине подготовку кадров для предприятий потребительского рынка осуществляет ОГАПОУ "Губкинский горно-политехнический колледж", где обучаются студенты по профессиям: повар, кондитер, техник-технолог общественного питания, а также проводится повышение квалификации по специальностям: бармен, официант, буфетчик. Кроме того, регулярно проводится переподготовка специалистов среднего звена АНО ДПО "Старооскольский учебный центр повышения квалификации".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целях повышения уровня профессионализма, а также престижности рабочих специальностей на территории Губкинского городского округа Белгородской области необходимо продолжить проведение конкурсов на лучшее предприятие общественного питания, лучший по профессии, мастер своего дела и мастер-классы.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1 является максимально полное удовлетворение потребностей населения городского округа в услугах общественного питания за счет обеспечения эффективного развития инфраструктуры отрасли. Достижение главной цели связано с решением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обслуживания населения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сферы общественного питания в сельской местности, в том числе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 для развития общедоступной сети и предприятий общественного питания на туристических маршрутах;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предоставления услуг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Эта сфера в городском округе является составной частью экономики и призвана обеспечивать условия для полного и своевременного удовлетворения спроса населения на услуги питания, качество и безопасность их предоставления, доступность услуг на всей территории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общедоступных объектов питания, высокая стоимость аренды объектов недвижимости и земли, высокая стоимость проведения работ по обеспечению инженерными коммуникациями, недостаток предприятий общественного питания в отдаленных и малочисленных населенных пунктах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недостаточная привлекательность для бизнеса развития общественного питания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1.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1 строится в соответствии со следующими принципами: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сферу общественного питания;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практики для создания условий развития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два раздела, каждый из которых представляет собой самостоятельный блок мероприятий, направленных на реализацию конкретного направления подпрограммы 1: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общественного питания,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общественного питания с целью повышения уровня профессионального мастерства).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1, обеспечит интенсивное развитие сферы общественного питания, повышение качества и безопасности услуг.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1 выражается в повышении качества жизни населения, увеличении количества предприятий общественного питания за счет привлечения средств фонда поддержки малого и среднего бизнеса, обеспеченности населения посадочными местами, совершенствовании системы подготовки и переподготовки кадров для сферы общественного питания.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1, позволит обеспечить качественно новый, цивилизованный облик сферы общественного питания, будет способствовать поддержанию высоких темпов его развития, созданию новых рабочих мест и инвестиционной привлекательности этого сектора. Целевые показатели могут быть скорректированы при изменении внешних факторов социально-экономического развития. Достижение прогнозируемых значений целевых показателей и показателей социально-экономической эффективности реализации подпрограммы 1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  <w:vAlign w:val="bottom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45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204"/>
        <w:gridCol w:w="737"/>
        <w:gridCol w:w="737"/>
        <w:gridCol w:w="737"/>
        <w:gridCol w:w="737"/>
        <w:gridCol w:w="737"/>
      </w:tblGrid>
      <w:tr w:rsidR="003A56E6">
        <w:tc>
          <w:tcPr>
            <w:tcW w:w="51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51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Объем товарооборота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млн.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</w:tcPr>
          <w:p w:rsidR="003A56E6" w:rsidRDefault="003A56E6">
            <w:pPr>
              <w:pStyle w:val="ConsPlusNormal"/>
            </w:pPr>
            <w:r>
              <w:t>Оборот общественного питания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51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vAlign w:val="bottom"/>
          </w:tcPr>
          <w:p w:rsidR="003A56E6" w:rsidRDefault="003A56E6">
            <w:pPr>
              <w:pStyle w:val="ConsPlusNormal"/>
            </w:pPr>
            <w:r>
              <w:t>Обеспеченность населения посадочными местами в предприятиях общественного питания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Общий объем финансирования подпрограммы 1 за 2014 - 2025 годы составит 356 тысяч рублей. Объемы и источники финансирования по годам реализации представлены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lastRenderedPageBreak/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984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83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198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1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83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8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835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19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1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2268"/>
        <w:gridCol w:w="604"/>
        <w:gridCol w:w="604"/>
        <w:gridCol w:w="604"/>
        <w:gridCol w:w="604"/>
        <w:gridCol w:w="604"/>
      </w:tblGrid>
      <w:tr w:rsidR="003A56E6">
        <w:tc>
          <w:tcPr>
            <w:tcW w:w="374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6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весь период реализации подпрограммы 1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74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6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268" w:type="dxa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742" w:type="dxa"/>
          </w:tcPr>
          <w:p w:rsidR="003A56E6" w:rsidRDefault="003A56E6">
            <w:pPr>
              <w:pStyle w:val="ConsPlusNormal"/>
            </w:pPr>
            <w:r>
              <w:t>в том числе бюджет Губкинского городского округа Белгородской области</w:t>
            </w:r>
          </w:p>
        </w:tc>
        <w:tc>
          <w:tcPr>
            <w:tcW w:w="226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5" w:name="P722"/>
      <w:bookmarkEnd w:id="5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торговли на территории Губкинского городского</w:t>
      </w:r>
    </w:p>
    <w:p w:rsidR="003A56E6" w:rsidRDefault="003A56E6">
      <w:pPr>
        <w:pStyle w:val="ConsPlusTitle"/>
        <w:jc w:val="center"/>
      </w:pPr>
      <w:r>
        <w:t>округа Белгородской области"</w:t>
      </w:r>
    </w:p>
    <w:p w:rsidR="003A56E6" w:rsidRDefault="003A56E6">
      <w:pPr>
        <w:pStyle w:val="ConsPlusNormal"/>
        <w:jc w:val="center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"Развитие торговли на территории Губкинского городского округа Белгородской области" (далее - подпрограмма 2)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Максимально полное удовлетворение потребностей населения городского округа в товарах за счет обеспечения эффективного развития инфраструктуры отрасли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сбалансированного развития и размещения инфраструктуры оптовой и розничной торговли;</w:t>
            </w:r>
          </w:p>
          <w:p w:rsidR="003A56E6" w:rsidRDefault="003A56E6">
            <w:pPr>
              <w:pStyle w:val="ConsPlusNormal"/>
              <w:jc w:val="both"/>
            </w:pPr>
            <w:r>
              <w:t>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продвижение на потребительский рынок городского округа товаров </w:t>
            </w:r>
            <w:r>
              <w:lastRenderedPageBreak/>
              <w:t>отечественного производства, в том числе областных производителей;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деловой активности хозяйствующих субъектов, осуществляющих торговую деятельность, и организация взаимодействия между хозяйствующими субъектами, и субъектами, осуществляющими производство (поставки) товаров на территории Белгородской области;</w:t>
            </w:r>
          </w:p>
          <w:p w:rsidR="003A56E6" w:rsidRDefault="003A56E6">
            <w:pPr>
              <w:pStyle w:val="ConsPlusNormal"/>
              <w:jc w:val="both"/>
            </w:pPr>
            <w:r>
              <w:t>стимулирование развития торговли в сельской местности, в том числе в отдаленных или малочисленных населенных пунктах;</w:t>
            </w:r>
          </w:p>
          <w:p w:rsidR="003A56E6" w:rsidRDefault="003A56E6">
            <w:pPr>
              <w:pStyle w:val="ConsPlusNormal"/>
              <w:jc w:val="both"/>
            </w:pPr>
            <w:r>
              <w:t>повышение качества и культуры торгового сервиса для населения городского округа;</w:t>
            </w:r>
          </w:p>
          <w:p w:rsidR="003A56E6" w:rsidRDefault="003A56E6">
            <w:pPr>
              <w:pStyle w:val="ConsPlusNormal"/>
              <w:jc w:val="both"/>
            </w:pPr>
            <w:r>
              <w:t>информационно-аналитическое обеспечение в области торговой деятельности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2211" w:type="dxa"/>
            <w:vAlign w:val="bottom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2014 - 2025 годы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Финансирование подпрограммы 2 осуществляется за счет средств бюджета Губкинского городского округа Белгородской области, утвержденного на соответствующий год по соответствующим статьям бюджетной классификации. Общий объем финансирования мероприятий подпрограммы 2 на 2014 - 2025 годы составляет 346 тыс. рублей,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г. - 20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г. - 50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г.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г. - 30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г. - 28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г. - 28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7.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2</w:t>
            </w:r>
          </w:p>
        </w:tc>
        <w:tc>
          <w:tcPr>
            <w:tcW w:w="6406" w:type="dxa"/>
            <w:vAlign w:val="bottom"/>
          </w:tcPr>
          <w:p w:rsidR="003A56E6" w:rsidRDefault="003A56E6">
            <w:pPr>
              <w:pStyle w:val="ConsPlusNormal"/>
              <w:jc w:val="both"/>
            </w:pPr>
            <w:r>
              <w:t>2.1. Объем розничного товарооборота.</w:t>
            </w:r>
          </w:p>
          <w:p w:rsidR="003A56E6" w:rsidRDefault="003A56E6">
            <w:pPr>
              <w:pStyle w:val="ConsPlusNormal"/>
              <w:jc w:val="both"/>
            </w:pPr>
            <w:r>
              <w:t>2.2. Объем розничного товарооборота на душу населения.</w:t>
            </w:r>
          </w:p>
          <w:p w:rsidR="003A56E6" w:rsidRDefault="003A56E6">
            <w:pPr>
              <w:pStyle w:val="ConsPlusNormal"/>
              <w:jc w:val="both"/>
            </w:pPr>
            <w:r>
              <w:t>2.3. Торговая площадь.</w:t>
            </w:r>
          </w:p>
          <w:p w:rsidR="003A56E6" w:rsidRDefault="003A56E6">
            <w:pPr>
              <w:pStyle w:val="ConsPlusNormal"/>
              <w:jc w:val="both"/>
            </w:pPr>
            <w:r>
              <w:t>2.4. Обеспеченность торговыми площадями на 1 тысячу жителей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розничного товарооборота до 32,9 млрд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Увеличение розничного товарооборота на душу населения до 282,7 тыс. рублей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3. Торговая площадь в Губкинском городском округе Белгородской области достигнет значения 91,8 тыс. кв. м к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4. Увеличение показателя обеспеченности населения торговыми площадями в предприятиях торговли до 788,6 кв. м на 1 тысячу жителей к 2025 году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>На начало 2014 года на потребительском рынке городского округа функционирует 640 предприятий розничной торговли. Из них: 487 магазинов, 42 павильона, 111 киосков.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Обеспеченность торговыми площадями в расчете на 1000 жителей составила 603 кв. метров. Согласно утвержденным в Белгородской области нормативам минимальной обеспеченности населения площадью торговых объектов, норматив обеспеченности торговыми площадями в расчете на 1 тысячу жителей в Губкинском городском округе Белгородской области составляет 447 кв. м. Таким образом, к 2014 году достигнуто не только значение минимального нормативного показателя, но и его превышение на 34,9%.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розничного товарооборота в 2013 году составил 14,5 млрд. рублей, что в сопоставимых ценах на 3,9% выше показателя 2012 года. Оборот на душу населения составил 120 тыс. рублей.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настоящее время розничная торговля претерпевает кардинальные изменения, которые связаны, прежде всего, с масштабным развитием розничных сетей, на долю которых в городском округе приходится около 20% торговых площадей.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Покупательская активность населения стимулирует появление новых торговых объектов. В 2013 году на территории Губкинского городского округа Белгородской области в эксплуатацию введены 42 магазина.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Общими принципами развития розничной торговой сети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формирование крупных универсальных розничных предприятий, торговых центров и торговых комплексов;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функционирование системы "магазинов шаговой доступности", торгующих широким ассортиментом продовольственных и непродовольственных товаров;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 торговых комплексов в жилых массивах;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зон торгового обслуживания вдоль автомагистралей и туристических маршрутов.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Реконструкция и модернизация предприятий торговли включает в себя внедрение новых технологий и прогрессивных форм организации торговли, а также улучшение дизайна торговых помещений, продление сроков возможной эксплуатации объектов торговли. На этой основе обеспечиваются: повышение качества торгового обслуживания, снижение издержек обращения, решается задача по сохранению рабочих мест.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государственной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 по сравнению с традиционными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росте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Анализируя сложившуюся ситуацию в сфере торговли, можно выделить следующие проблемы: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неравномерное территориальное распределение объектов торговли, а также нехватка доступных торговых площадей в отдаленных 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недостаточное количество предприятий, предлагающих продукцию средней ценовой категории, специализированных организаций диетического питания и т.д.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Программное решение указанных проблем позволит обеспечить качественно новый, более социально ориентированный облик потребительского рынка товаров округа, будет способствовать поддержанию высоких темпов развития отрасли, расширению предложения товаров, реализации программы социально-экономического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Уровень развития торговли во многом определяется обеспеченностью квалифицированными кадрами.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приходом на потребительский рынок округа крупных компаний, работающих по сетевому принципу, и открытием новых современных гипермаркетов, супермаркетов, универсальных магазинов, внедрением современных технологий с применением прогрессивных форм обслуживания, требуется подготовка специалистов соответствующего уровня. Профессионализм, высокая культура - залог успеха любого предприятия.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Повышение уровня конкурентоспособности предприятий в решающей степени определяется качеством имеющегося персонала: его квалификацией, потенциалом, степенью сплоченности и мотивацией к высокопроизводительному труду.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Признавая малый бизнес как часть общей экономики, следует признать, что сфера потребительского рынка может эффективно развиваться лишь при наличии подготовленных кадров. Объективная потребность в кадрах нового профессионального уровня стала очередной задачей для всех типов и уровней образовательных учреждений. На потребительском рынке труда удовлетворить потребность работодателя может работник, соответствующий следующим критериям: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хорошего профессионального уровня и способности работать по обозначенной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прочных знаний, умений и навыков по избранной профессии;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элементами общей культуры и умение применять их на практике;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обладание знаниями основ психологии и умение работать с потребителями;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наличие чувства адаптации к новым нестандартным условиям, принятие верных решений в сложных ситуациях.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подпрограммы 2 является максимально полное удовлетворение потребностей населения Губкинского городского округа Белгородской области в товарах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 обуславливает решение основных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обеспечение сбалансированного развития и размещения инфраструктуры оптовой и розничной торговли;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условий, направленных на развитие современных форматов торговли, в том числе развитие многофункциональных крупных торговых объектов, торговых объектов шаговой доступности;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продвижение на потребительский рынок Губкинского городского округа Белгородской области товаров отечественного производства, в том числе областных производителей;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экономической (ценовой) доступности товаров для населения городского округа, создание условий для обеспечения качества и безопасности товаров на потребительском рынке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- стимулирование деловой активности хозяйствующих субъектов, осуществляющих торговую </w:t>
      </w:r>
      <w:r>
        <w:lastRenderedPageBreak/>
        <w:t>деятельность, и организация взаимодействия между хозяйствующими субъектами, осуществляющими торговую деятельность, и хозяйствующими субъектами, осуществляющими производство (поставки) товаров на территории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стимулирование развития торговли в сельской местности, в том числе в отдаленных или малочисленных населенных пунктах;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качества и культуры торгового сервиса для населения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информационно-аналитическое обеспечение в области торговой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Большинство основных проблем развития данной сферы являются общими для всего Губкинского городского округа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 ним относятся: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эффективность государственного регулирования;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недостаточный уровень развития инфраструктуры (недостаток предприятий торговли в сельской местности, высокая стоимость аренды объектов недвижимости и земли, высокая стоимость проведения работ по обеспечению инженерными коммуникациями и т.д.);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низкая квалификация и недостаток кадров на всех уровнях;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недостаточная привлекательность для бизнеса развития торговли в отдаленных и малочисленных населенных пунктах.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2: 2014 - 2025 годы, I этап: 2014 - 2020 годы, II этап: 2021 - 2025 годы.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 и краткое</w:t>
      </w:r>
    </w:p>
    <w:p w:rsidR="003A56E6" w:rsidRDefault="003A56E6">
      <w:pPr>
        <w:pStyle w:val="ConsPlusTitle"/>
        <w:jc w:val="center"/>
      </w:pPr>
      <w:r>
        <w:t>описание основных мероприятий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цели и решение задач подпрограммы 2 осуществляются путем скоординированного выполнения комплекса мероприятий, взаимосвязанных по задачам, срокам, исполнителям. Система мероприятий подпрограммы 2 соответствует следующим принципам: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комплексность, под которой понимается максимальная широта охвата факторов, влияющих на потребительский рынок;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эффективности реализуемых и внедрение новых мер на основе анализа лучшей практики создания условий для развития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Программные мероприятия сгруппированы в соответствии с задачами и содержат 2 раздела, каждый из которых представляет собой самостоятельный блок мероприятий, направленных на реализацию конкретного направления: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1. Профессиональная подготовка, переподготовка и повышение квалификации (путем организации повышения квалификации кадров для сферы торговли, проведение обучающих семинаров, курсов повышения квалификации).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 Мероприятия, направленные на повышение уровня профессионального мастерства (путем проведения мастер-классов, конкурсов профессионального мастерства среди работников и конкурсов на лучшее предприятие торговли с целью повышения уровня профессионального мастерства).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программных мероприятий по реализации подпрограммы 2 приведена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Реализация комплекса мероприятий, предусмотренных подпрограммой 2, обеспечит проведение целенаправленной муниципальной политики, направленной на интенсивное развитие потребительского рынка, повышение качества и безопасности реализуемых товаров.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Социальный эффект от реализации подпрограммы 2 выражается в повышении качества жизни населения, увеличении оборота розничной торговли, развитии современных форматов и сетевых форм торговли (т.к. современные форматы, по сравнению с традиционными, отличаются большей эффективностью продаж, меньшими издержками, низкими ценами, более высоким качеством сервиса и контролем качества товаров), обеспеченности населения торговыми площадями, роста налоговых поступлений в бюджеты различных уровней, совершенствовании системы подготовки и переподготовки кадров для сферы потребительского рынка.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к 2025 году целевых показателей, предусмотренных подпрограммой 2, позволит обеспечить качественно новый, цивилизованный облик потребительского рынка, будет способствовать поддержанию высоких темпов его развития, созданию новых рабочих мест и инвестиционной привлекательности сектора торговли.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Целевые показатели могут быть скорректированы при изменении внешних факторов социально-экономического развития, в том числе изменений, связанных со вступлением Российской Федерации во Всемирную торговую организацию. Достижение прогнозируемых значений целевых показателей и показателей социально-экономической эффективности реализации подпрограммы 2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098"/>
        <w:gridCol w:w="1204"/>
        <w:gridCol w:w="664"/>
        <w:gridCol w:w="664"/>
        <w:gridCol w:w="66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09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5312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09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1/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98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625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680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204"/>
        <w:gridCol w:w="664"/>
        <w:gridCol w:w="664"/>
        <w:gridCol w:w="664"/>
        <w:gridCol w:w="664"/>
        <w:gridCol w:w="664"/>
      </w:tblGrid>
      <w:tr w:rsidR="003A56E6">
        <w:tc>
          <w:tcPr>
            <w:tcW w:w="45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Планируемое значение показателя по годам:</w:t>
            </w:r>
          </w:p>
        </w:tc>
      </w:tr>
      <w:tr w:rsidR="003A56E6">
        <w:tc>
          <w:tcPr>
            <w:tcW w:w="45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4082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млрд.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Объем розничного товарооборота на душу населения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Торговая площадь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90,5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</w:tcPr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>Общий объем финансирования подпрограммы 2 за 2014 - 2025 годы составит 346 тысяч рублей. Объемы и источники финансирования по годам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211"/>
        <w:gridCol w:w="604"/>
        <w:gridCol w:w="604"/>
        <w:gridCol w:w="604"/>
        <w:gridCol w:w="604"/>
        <w:gridCol w:w="604"/>
        <w:gridCol w:w="604"/>
        <w:gridCol w:w="604"/>
      </w:tblGrid>
      <w:tr w:rsidR="003A56E6">
        <w:tc>
          <w:tcPr>
            <w:tcW w:w="255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211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 этап реализации подпрограммы 2</w:t>
            </w:r>
          </w:p>
        </w:tc>
        <w:tc>
          <w:tcPr>
            <w:tcW w:w="422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255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211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2551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211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206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2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2438"/>
        <w:gridCol w:w="794"/>
        <w:gridCol w:w="737"/>
        <w:gridCol w:w="604"/>
        <w:gridCol w:w="794"/>
        <w:gridCol w:w="680"/>
      </w:tblGrid>
      <w:tr w:rsidR="003A56E6">
        <w:tc>
          <w:tcPr>
            <w:tcW w:w="3005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43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Финансовые затраты на II этап реализации подпрограммы 2</w:t>
            </w:r>
          </w:p>
        </w:tc>
        <w:tc>
          <w:tcPr>
            <w:tcW w:w="3609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 реализации:</w:t>
            </w:r>
          </w:p>
        </w:tc>
      </w:tr>
      <w:tr w:rsidR="003A56E6">
        <w:tc>
          <w:tcPr>
            <w:tcW w:w="3005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43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005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3005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2438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1"/>
      </w:pPr>
      <w:bookmarkStart w:id="6" w:name="P1027"/>
      <w:bookmarkEnd w:id="6"/>
      <w:r>
        <w:t>Подпрограмма</w:t>
      </w:r>
    </w:p>
    <w:p w:rsidR="003A56E6" w:rsidRDefault="003A56E6">
      <w:pPr>
        <w:pStyle w:val="ConsPlusTitle"/>
        <w:jc w:val="center"/>
      </w:pPr>
      <w:r>
        <w:t>"Развитие и поддержка малого и среднего предпринимательства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Паспорт подпрограммы</w:t>
      </w:r>
    </w:p>
    <w:p w:rsidR="003A56E6" w:rsidRDefault="003A56E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211"/>
        <w:gridCol w:w="6406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"Развитие и поддержка малого и среднего предпринимательства в Губкинском городском округе Белгородской области" (далее - подпрограмма 3)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Соисполнитель муниципальной программы, ответственный за подпрограмму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Задачи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Содействие участию в ремесленной и выставочно-ярмарочной деятельности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      </w:r>
          </w:p>
          <w:p w:rsidR="003A56E6" w:rsidRDefault="003A56E6">
            <w:pPr>
              <w:pStyle w:val="ConsPlusNormal"/>
              <w:jc w:val="both"/>
            </w:pPr>
            <w:r>
              <w:t>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      </w:r>
          </w:p>
          <w:p w:rsidR="003A56E6" w:rsidRDefault="003A56E6">
            <w:pPr>
              <w:pStyle w:val="ConsPlusNormal"/>
              <w:jc w:val="both"/>
            </w:pPr>
            <w:r>
              <w:t>4. Оказание содействия субъектам малого и среднего предпринимательства в участии в областном мероприятии "Программа "500/10000".</w:t>
            </w:r>
          </w:p>
          <w:p w:rsidR="003A56E6" w:rsidRDefault="003A56E6">
            <w:pPr>
              <w:pStyle w:val="ConsPlusNormal"/>
              <w:jc w:val="both"/>
            </w:pPr>
            <w:r>
              <w:t>5. Оказание содействия в обеспечении доступности инфраструктуры государственной поддержки субъектов малого и среднего предпринимательства.</w:t>
            </w:r>
          </w:p>
          <w:p w:rsidR="003A56E6" w:rsidRDefault="003A56E6">
            <w:pPr>
              <w:pStyle w:val="ConsPlusNormal"/>
              <w:jc w:val="both"/>
            </w:pPr>
            <w:r>
              <w:t>6. Повышение доступности финансовых ресурсов для субъектов малого и среднего предпринимательства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2014 - 2025 годы.</w:t>
            </w:r>
          </w:p>
          <w:p w:rsidR="003A56E6" w:rsidRDefault="003A56E6">
            <w:pPr>
              <w:pStyle w:val="ConsPlusNormal"/>
              <w:jc w:val="both"/>
            </w:pPr>
            <w:r>
              <w:t>I этап: 2014 - 2020 годы.</w:t>
            </w:r>
          </w:p>
          <w:p w:rsidR="003A56E6" w:rsidRDefault="003A56E6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 xml:space="preserve">Общий объем ресурсного обеспечения подпрограммы на 2014 - 2025 годы - 85700,412 тыс. рублей, в том числе за счет средств федерального бюджета </w:t>
            </w:r>
            <w:hyperlink w:anchor="P1119">
              <w:r>
                <w:rPr>
                  <w:color w:val="0000FF"/>
                </w:rPr>
                <w:t>&lt;***&gt;</w:t>
              </w:r>
            </w:hyperlink>
            <w:r>
              <w:t xml:space="preserve"> - 60222,85 тыс. рублей, средств областного бюджета Белгородской области &lt;***&gt; - 7518,85 тыс. рублей, средств бюджета Губкинского городского округа Белгородской области - 3515,112 тыс. рублей, средств иных источников - 14443,6 тыс. рублей, из них: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федерального бюджета,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- 2750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- 4050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- 860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- 6870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- 6453,65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- 27569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- 11670,2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планируемое финансирование за счет средств областного бюджета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- 324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2015 год - 244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- 133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- 3412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- 1746,35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- 1169,5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- 490,0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бюджет Губкинского городского округа Белгородской области,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2014 год - 19,512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lastRenderedPageBreak/>
              <w:t>2015 год - 61,5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2016 год - 148,0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- 151,0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- 462,2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- 1643,9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- 689,0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2021 год - 60,0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2022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2023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2024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2025 год - 70,0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- иные источники, в том числе по годам:</w:t>
            </w:r>
          </w:p>
          <w:p w:rsidR="003A56E6" w:rsidRDefault="003A56E6">
            <w:pPr>
              <w:pStyle w:val="ConsPlusNormal"/>
              <w:jc w:val="both"/>
            </w:pPr>
            <w:r>
              <w:t>2017 год - 7000,0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2018 год - 662,4 тыс. рублей;</w:t>
            </w:r>
          </w:p>
          <w:p w:rsidR="003A56E6" w:rsidRDefault="003A56E6">
            <w:pPr>
              <w:pStyle w:val="ConsPlusNormal"/>
              <w:jc w:val="both"/>
            </w:pPr>
            <w:r>
              <w:t>2019 год - 4523,0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>2020 год - 2258,2 тыс. рублей.</w:t>
            </w:r>
          </w:p>
          <w:p w:rsidR="003A56E6" w:rsidRDefault="003A56E6">
            <w:pPr>
              <w:pStyle w:val="ConsPlusNormal"/>
              <w:jc w:val="both"/>
            </w:pPr>
            <w:r>
              <w:t xml:space="preserve">На реализацию мероприятий подпрограммы 3 кроме того предусмотрено в 2014 - 2025 годах предоставление муниципальной гарантии Губкинского городского округа Белгородской области в объеме 3 млн. рублей </w:t>
            </w:r>
            <w:hyperlink w:anchor="P1117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  <w:p w:rsidR="003A56E6" w:rsidRDefault="003A56E6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очередной финансовый год и плановый период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>Показатели конечных результатов реализации подпрограммы 3</w:t>
            </w:r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3.1. Оборот малых и средних предприятий в действующих ценах.</w:t>
            </w:r>
          </w:p>
          <w:p w:rsidR="003A56E6" w:rsidRDefault="003A56E6">
            <w:pPr>
              <w:pStyle w:val="ConsPlusNormal"/>
              <w:jc w:val="both"/>
            </w:pPr>
            <w:r>
              <w:t>3.2. Доля занятых в малом бизнесе, включая ИП, в общей численности занятых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3A56E6" w:rsidRDefault="003A56E6">
            <w:pPr>
              <w:pStyle w:val="ConsPlusNormal"/>
            </w:pPr>
            <w:r>
              <w:t xml:space="preserve">Конечные результаты реализации подпрограммы 3 </w:t>
            </w:r>
            <w:hyperlink w:anchor="P111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406" w:type="dxa"/>
          </w:tcPr>
          <w:p w:rsidR="003A56E6" w:rsidRDefault="003A56E6">
            <w:pPr>
              <w:pStyle w:val="ConsPlusNormal"/>
              <w:jc w:val="both"/>
            </w:pPr>
            <w:r>
              <w:t>1. Увеличение годового оборота малых и средних предприятий в действующих ценах по годам до 20,4 млрд. рублей в 2020 году, до 27,3 млрд. рублей в 2025 году.</w:t>
            </w:r>
          </w:p>
          <w:p w:rsidR="003A56E6" w:rsidRDefault="003A56E6">
            <w:pPr>
              <w:pStyle w:val="ConsPlusNormal"/>
              <w:jc w:val="both"/>
            </w:pPr>
            <w:r>
              <w:t>2. Достижение уровня доли занятых в малом и среднем бизнесе, включая ИП, в общей численности занятых к 2020 году 27,5%, к 2025 году - 31,1%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Примечания: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7" w:name="P1117"/>
      <w:bookmarkEnd w:id="7"/>
      <w:r>
        <w:t>&lt;*&gt; решением Совета депутатов Губкинского городского округа Белгородской области о бюджете Губкинского городского округа Белгородской области на соответствующий финансовый год устанавливается верхний предел обязательств по муниципальным гарантиям на 1 января года, следующего за очередным финансовым годом, не суммируется по годам и мероприятиям;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8" w:name="P1118"/>
      <w:bookmarkEnd w:id="8"/>
      <w:r>
        <w:t>&lt;**&gt; ожидаемые социально-экономические результаты будут достигнуты при оптимистичном варианте развития экономики;</w:t>
      </w:r>
    </w:p>
    <w:p w:rsidR="003A56E6" w:rsidRDefault="003A56E6">
      <w:pPr>
        <w:pStyle w:val="ConsPlusNormal"/>
        <w:spacing w:before="200"/>
        <w:ind w:firstLine="540"/>
        <w:jc w:val="both"/>
      </w:pPr>
      <w:bookmarkStart w:id="9" w:name="P1119"/>
      <w:bookmarkEnd w:id="9"/>
      <w:r>
        <w:t>&lt;***&gt; планируемый объем финансирования.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3A56E6" w:rsidRDefault="003A56E6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Одним из важнейших блоков Программы является стимулирование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Целью подпрограммы 3 является обеспечение благоприятных условий для развития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 и комплексной поддержки субъектов малого и среднего предпринимательства в Губкинском городском округе Белгородской области для ускорения темпов их развития.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В рамках подпрограммы 3 предусматривается совершенствование инфраструктуры поддержки малого и среднего предпринимательства, а также повышение доступности финансовых ресурсов для субъектов малого и среднего предпринимательства; обеспечение информационной и </w:t>
      </w:r>
      <w:r>
        <w:lastRenderedPageBreak/>
        <w:t>консультационной поддержки, а также поддержки субъектов малого и среднего предпринимательства в области ремесленной и выставочно-ярмарочной деятельности.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Подпрограмма 3 определяет совместные действия администрации Губкинского городского округа, организаций, образующих инфраструктуру поддержки субъектов малого и среднего предпринимательства, предпринимателей и их общественных объединений, направленные на устойчивое и динамичное развитие субъектов малого и среднего предпринимательства и повышение их роли в социально-экономических процессах на территории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1.1. Общая оценка ситуации на основе</w:t>
      </w:r>
    </w:p>
    <w:p w:rsidR="003A56E6" w:rsidRDefault="003A56E6">
      <w:pPr>
        <w:pStyle w:val="ConsPlusNormal"/>
        <w:jc w:val="center"/>
      </w:pPr>
      <w:r>
        <w:t>динамики главных показателей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Субъекты малого и среднего предпринимательства играют весьма важную роль в экономике, их развитие влияет на экономический рост, ускорение научно-технического прогресса, создает конкуренцию на рынках товаров и услуг, заполняет рыночные ниши, нерентабельные для крупного производства, способствует развитию потребительского рынка, создает дополнительные рабочие места. Предприниматели образуют основу среднего класса, выступающего гарантом политической и социальной стабильности общества; развитие малого и среднего предпринимательства способствует росту налоговых поступлений в бюджеты всех уровней. Во всех экономически развитых странах государство оказывает большую поддержку субъектам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Администрацией Губкинского городского округа постоянно наряду с другими вопросами местного значения большое внимание уделяется содействию развития малого и среднего предпринимательства, что способствует повышению уровня занятости экономически активного населения, насыщению потребительского рынка товарами и услугами, повышению налоговых поступлений в бюджеты всех уровней.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Малое и среднее предпринимательство Губкинского городского округа Белгородской области по состоянию на 30 сентября 2017 года представляют 3572 субъекта, из них - 2855 индивидуальных предпринимателей и 717 юридических лиц. В структуре оборота субъектов малого и среднего предпринимательства преобладают розничная торговля и общественное питание (41,55%), далее следуют обрабатывающие производства (25,05%), строительные виды деятельности (15,17%), операции с недвижимым имуществом, аренда и предоставление услуг (6,89%), сельское хозяйство (5,44%), прочие, включая транспортные услуги (5,9%). Оборот малых и средних предприятий за рассматриваемый период составил 15,32 млрд. рублей, среднесписочная численность работников малых и средних предприятий - 8077 человек.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развития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907"/>
        <w:gridCol w:w="850"/>
        <w:gridCol w:w="964"/>
        <w:gridCol w:w="964"/>
      </w:tblGrid>
      <w:tr w:rsidR="003A56E6">
        <w:tc>
          <w:tcPr>
            <w:tcW w:w="5386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Создано рабочих мест,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Оборот малых и средних предприятий, млн. руб.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10 153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9 430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9 978,9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9 999,5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налоговых поступлений от малого предпринимательства в общей сумме налоговых доходов консолидированного бюджета муниципального образования,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9,26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</w:tr>
      <w:tr w:rsidR="003A56E6">
        <w:tc>
          <w:tcPr>
            <w:tcW w:w="5386" w:type="dxa"/>
          </w:tcPr>
          <w:p w:rsidR="003A56E6" w:rsidRDefault="003A56E6">
            <w:pPr>
              <w:pStyle w:val="ConsPlusNormal"/>
            </w:pPr>
            <w:r>
              <w:t>Среднесписочная численность работников (без внешних совместителей) по малым и средним предприятиям, тыс. чел.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8,76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8,42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Создание рабочих мест в малом и среднем бизнесе, ед.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433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31</w:t>
            </w:r>
          </w:p>
        </w:tc>
      </w:tr>
      <w:tr w:rsidR="003A56E6">
        <w:tc>
          <w:tcPr>
            <w:tcW w:w="5386" w:type="dxa"/>
            <w:vAlign w:val="bottom"/>
          </w:tcPr>
          <w:p w:rsidR="003A56E6" w:rsidRDefault="003A56E6">
            <w:pPr>
              <w:pStyle w:val="ConsPlusNormal"/>
            </w:pPr>
            <w:r>
              <w:t>Доля муниципальных закупок у субъектов малого предпринимательства, %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11,86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12,77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13,66</w:t>
            </w:r>
          </w:p>
        </w:tc>
        <w:tc>
          <w:tcPr>
            <w:tcW w:w="96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14,77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lastRenderedPageBreak/>
        <w:t xml:space="preserve">Работа по развитию малого и среднего бизнеса проводилась с 2009 года в соответствии с муниципальной целевой программой "Развитие и поддержка субъектов малого и среднего предпринимательства в Губкинском городском округе на 2009 - 2012 годы". Реализация программы в отчетном периоде предусматривала оказание консультационно-информационной поддержки по вопросам льготного кредитования, предоставление субсидий по договорам финансовой аренды (лизинга), а также выдачу рекомендаций главы администрации о целесообразности реализации представленных инвестиционных проектов. В связи с истечением срока действия данной программы было принято </w:t>
      </w:r>
      <w:hyperlink r:id="rId34">
        <w:r>
          <w:rPr>
            <w:color w:val="0000FF"/>
          </w:rPr>
          <w:t>постановление</w:t>
        </w:r>
      </w:hyperlink>
      <w:r>
        <w:t xml:space="preserve"> администрации Губкинского городского округа от 6 декабря 2012 года N 2390-па "Об утверждении долгосрочной целевой программы "Развитие и поддержка субъектов малого и среднего предпринимательства в Губкинском городском округе на 2013 - 2016 годы".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Показатели поддержки малого и среднего предпринимательства Губкинского городского округа Белгородской области представлены следующим образом: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850"/>
        <w:gridCol w:w="907"/>
        <w:gridCol w:w="850"/>
        <w:gridCol w:w="850"/>
        <w:gridCol w:w="844"/>
      </w:tblGrid>
      <w:tr w:rsidR="003A56E6">
        <w:tc>
          <w:tcPr>
            <w:tcW w:w="476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Показатели поддержки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2009 г.</w:t>
            </w:r>
          </w:p>
        </w:tc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2010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2011 г.</w:t>
            </w:r>
          </w:p>
        </w:tc>
        <w:tc>
          <w:tcPr>
            <w:tcW w:w="850" w:type="dxa"/>
          </w:tcPr>
          <w:p w:rsidR="003A56E6" w:rsidRDefault="003A56E6">
            <w:pPr>
              <w:pStyle w:val="ConsPlusNormal"/>
              <w:jc w:val="center"/>
            </w:pPr>
            <w:r>
              <w:t>2012 г.</w:t>
            </w:r>
          </w:p>
        </w:tc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2013 г.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Обратились за консультацией по вопросу ведения предпринимательской деятельности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Льготные займы в БОФПМСП: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4962,0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7260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5852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7670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Гранты начинающим предпринимателям: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количество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общая сумма,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2310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3300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900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1400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Субсидирование лизинговых договоров, ед.,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13000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1104,4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Выдано рекомендаций для обращения в БОФПМСП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Празднование Дня российского предпринимательства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Имущественная поддержка СМП в форме: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bottom w:val="nil"/>
            </w:tcBorders>
          </w:tcPr>
          <w:p w:rsidR="003A56E6" w:rsidRDefault="003A56E6">
            <w:pPr>
              <w:pStyle w:val="ConsPlusNormal"/>
            </w:pPr>
            <w:r>
              <w:t>- муниципальной преференции путем передачи в аренду без проведения торгов сроком на 5 лет муниципального имущества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907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bottom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blPrEx>
          <w:tblBorders>
            <w:insideH w:val="nil"/>
          </w:tblBorders>
        </w:tblPrEx>
        <w:tc>
          <w:tcPr>
            <w:tcW w:w="4762" w:type="dxa"/>
            <w:tcBorders>
              <w:top w:val="nil"/>
            </w:tcBorders>
          </w:tcPr>
          <w:p w:rsidR="003A56E6" w:rsidRDefault="003A56E6">
            <w:pPr>
              <w:pStyle w:val="ConsPlusNormal"/>
            </w:pPr>
            <w:r>
              <w:t>- арендная плата в год, тыс. руб.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1087,3</w:t>
            </w:r>
          </w:p>
        </w:tc>
        <w:tc>
          <w:tcPr>
            <w:tcW w:w="907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531,99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tcBorders>
              <w:top w:val="nil"/>
            </w:tcBorders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701,3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реализации преимущественного права приобретения арендуемого имущества с рассрочкой на 4 года, единиц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- стоимость имущества,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2868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8377,2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2723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1803,7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Субсидии ЛПХ и КФХ в целях развития кредитных потребительских кооперативов, сельскохозяйственных потребительских кооперативов, крестьянских (фермерских) хозяйств и других малых форм хозяйствования на селе: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t>просубсидировано кредитов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168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</w:tr>
      <w:tr w:rsidR="003A56E6">
        <w:tc>
          <w:tcPr>
            <w:tcW w:w="4762" w:type="dxa"/>
          </w:tcPr>
          <w:p w:rsidR="003A56E6" w:rsidRDefault="003A56E6">
            <w:pPr>
              <w:pStyle w:val="ConsPlusNormal"/>
            </w:pPr>
            <w:r>
              <w:lastRenderedPageBreak/>
              <w:t>на сумму субсидий, тыс. руб.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1776,5</w:t>
            </w:r>
          </w:p>
        </w:tc>
        <w:tc>
          <w:tcPr>
            <w:tcW w:w="90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1520,7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2107,7</w:t>
            </w:r>
          </w:p>
        </w:tc>
        <w:tc>
          <w:tcPr>
            <w:tcW w:w="85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3600</w:t>
            </w:r>
          </w:p>
        </w:tc>
        <w:tc>
          <w:tcPr>
            <w:tcW w:w="84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3672,2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center"/>
      </w:pPr>
      <w:r>
        <w:t>1.2. Анализ причин возникновения проблемы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Проводимые в Губкинском городском округе Белгородской области мероприятия по поддержке малого и среднего предпринимательства способствуют стабилизации социально-экономической ситуации, улучшению условий ведения предпринимательской деятельности. Однако, несмотря на достигнутые за последние годы положительные результаты, в малом и среднем предпринимательстве имеются проблемы, препятствующие его развитию и требующие решения программными методами.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Факторами, сдерживающими развитие предпринимательства, являются отсутствие у начинающих субъектов малого и среднего предпринимательства необходимой залоговой базы для банковского кредитования, низкий уровень их экономической и юридической грамотности, недобросовестная конкуренция на товарных рынках, отмечается невысокая деловая активность сельского населения.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 период 2014 - 2025 годов для поддержки и развития субъектов малого и среднего предпринимательства Губкинского городского округа Белгородской области актуально создание условий, обеспечивающих устойчивый рост количества субъектов малого и среднего предпринимательства, численности занятых в предпринимательстве, в первую очередь, за счет привлечения в эту сферу молодежи, незанятого сельского населения, молодых матерей. Необходимо стимулировать ускоренное развитие производственной и инновационной предпринимательской деятельности, достижение высоких конкурентных преимуществ выпускаемой продукции, совершенствовать механизмы финансовой поддержки и развитие внешнеэкономической деятельности предпринимателей. Дополнительного стимулирования требует развитие промышленной зоны Южные Коробки в городе Губкин, а также организация субъектами малого и среднего предпринимательства Губкинского городского округа Белгородской области частных детских садов и групп дневного времяпрепровождения детей дошкольного возраста.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Особого внимания и поддержки со стороны органов местного самоуправления потребуют муниципальные инвестиционные проекты, способствующие повышению уровня и качества жизни населения в таких сферах деятельности, как производственная, инновационная, природоохранная, переработка вторичного сырья, жилищно-коммунальное хозяйство, сельское хозяйство.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1.3. Связь с приоритетами социально-экономического развития</w:t>
      </w:r>
    </w:p>
    <w:p w:rsidR="003A56E6" w:rsidRDefault="003A56E6">
      <w:pPr>
        <w:pStyle w:val="ConsPlusNormal"/>
        <w:jc w:val="center"/>
      </w:pPr>
      <w:r>
        <w:t>Губкинского городского округа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Содержание и мероприятия подпрограммы 3 соответствуют второму стратегическому направлению "Развитие экономического потенциала Губкинского городского округа"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Цели, задачи, мероприятия и показатели реализации подпрограммы 3 соответствуют Стратегии социально-экономического развития Губкинского городского округа до 2025 года в части, касающейся развития малого и среднего предпринимательства Губкинского городского округа Белгородской области.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1.4. Обоснование необходимости решения</w:t>
      </w:r>
    </w:p>
    <w:p w:rsidR="003A56E6" w:rsidRDefault="003A56E6">
      <w:pPr>
        <w:pStyle w:val="ConsPlusNormal"/>
        <w:jc w:val="center"/>
      </w:pPr>
      <w:r>
        <w:t>проблемы программно-целевым методом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ind w:firstLine="540"/>
        <w:jc w:val="both"/>
      </w:pPr>
      <w:r>
        <w:t>Подход к решению проблем, который предусмотрен подпрограммой 3,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учреждений, организаций инфраструктуры поддержки предпринимательства и бизнес-сообщества для решения задач ускоренного развития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период реализации подпрограммы 3 будет реализовываться комплекс мер, направленных на активизацию развития предпринимательства, а также совершенствование инфраструктуры поддержки малого и среднего предпринимательства. Будут организованы мероприятия по информационной подготовке и повышению квалификации действующих и потенциальных предпринимателей, проводиться совместная с бизнесом работа по повышению общественного статуса и значимости предпринимательства.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Целью настоящей подпрограммы 3 является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области. Данная цель соответствует полномочиям администрации Губкинского городского округа как органа местного самоуправления, входит в сферу ответственности управления экономики и ценовой политики (координатор подпрограммы 3). Данная цель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подпрограммы 3.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Базовыми положениями подпрограммы 3 являются: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предпринимательской инициативы граждан как одной из основ социально-экономических преобразований и развития местного самоуправления Губкинского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муниципальная поддержка малого и среднего предпринимательства, осуществляемая на основе соблюдения взаимовыгодного сотрудничества предпринимателей, органов государственной власти и местного самоуправления.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Достижение заявленной цели потребует решения следующих задач: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2.1. Содействие участию в ремесленной и выставочно-ярмарочной деятельности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2.2. Оказание финансовой, имущественной поддержки приоритетных направлений деятельности субъектов малого и среднего предпринимательства, в том числе с использованием инфраструктуры поддержки малого и среднего предпринимательства в Губкинском городском округе Белгородской области.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2.3. Поддержка сельскохозяйственной деятельности малого и среднего предпринимательства в форме возмещения части процентной ставки по кредитам КФХ и ЛПХ.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2.4. Оказание содействия субъектам малого и среднего предпринимательства Губкинского городского округа Белгородской области в участии в областном мероприятии "Программа "500/10000".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Участниками Программы "500/10000" являются субъекты малого и среднего предпринимательства, зарегистрированные в установленном законодательством Российской Федерации порядке на территории Белгородской области и реализующие инвестиционные проекты в сельской местности в период с 2017 по 2022 годы в сферах экономической деятельности, предусмотренных </w:t>
      </w:r>
      <w:hyperlink r:id="rId35">
        <w:r>
          <w:rPr>
            <w:color w:val="0000FF"/>
          </w:rPr>
          <w:t>разделами A</w:t>
        </w:r>
      </w:hyperlink>
      <w:r>
        <w:t xml:space="preserve">, </w:t>
      </w:r>
      <w:hyperlink r:id="rId36">
        <w:r>
          <w:rPr>
            <w:color w:val="0000FF"/>
          </w:rPr>
          <w:t>C</w:t>
        </w:r>
      </w:hyperlink>
      <w:r>
        <w:t xml:space="preserve">, </w:t>
      </w:r>
      <w:hyperlink r:id="rId37">
        <w:r>
          <w:rPr>
            <w:color w:val="0000FF"/>
          </w:rPr>
          <w:t>F</w:t>
        </w:r>
      </w:hyperlink>
      <w:r>
        <w:t xml:space="preserve">, </w:t>
      </w:r>
      <w:hyperlink r:id="rId38">
        <w:r>
          <w:rPr>
            <w:color w:val="0000FF"/>
          </w:rPr>
          <w:t>I</w:t>
        </w:r>
      </w:hyperlink>
      <w:r>
        <w:t xml:space="preserve">, </w:t>
      </w:r>
      <w:hyperlink r:id="rId39">
        <w:r>
          <w:rPr>
            <w:color w:val="0000FF"/>
          </w:rPr>
          <w:t>M</w:t>
        </w:r>
      </w:hyperlink>
      <w:r>
        <w:t xml:space="preserve">, </w:t>
      </w:r>
      <w:hyperlink r:id="rId40">
        <w:r>
          <w:rPr>
            <w:color w:val="0000FF"/>
          </w:rPr>
          <w:t>S</w:t>
        </w:r>
      </w:hyperlink>
      <w:r>
        <w:t xml:space="preserve"> Общероссийского классификатора видов экономической деятельности (ОК 029 - 2014 (КДЕС Ред. 2), утвержденного Приказом Росстандарта от 31 января 2014 года N 14-ст.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2.5. Оказание содействия в обеспечении доступности инфраструктуры государственной поддержки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Государственная поддержка малого и среднего предпринимательства и организаций, образующих инфраструктуру поддержки малого и среднего предпринимательства Белгородской области, осуществляется в соответствии с Федеральным </w:t>
      </w:r>
      <w:hyperlink r:id="rId41">
        <w:r>
          <w:rPr>
            <w:color w:val="0000FF"/>
          </w:rPr>
          <w:t>законом</w:t>
        </w:r>
      </w:hyperlink>
      <w:r>
        <w:t xml:space="preserve"> от 24 июля 2007 года N 209-ФЗ "О развитии малого и среднего предпринимательства в Российской Федерации".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Государственная поддержка физических лиц, не являющихся индивидуальными предпринимателями и применяющих специальный налоговый режим "Налог на профессиональный доход", предусмотренная статьями 17 - 21, 23, 25 настоящего Федерального закона, и поддержка, предоставляемая АО "Корпорация МОП" и ее дочерними обществами, осуществляется в порядке и на условиях, которые установлены частями 2 - 6 статьи 14 указанного Федерального закона.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Инфраструктурой поддержки субъектов малого и среднего предпринимательства Белгородской области является система коммерческих и некоммерческих организаций в соответствии со </w:t>
      </w:r>
      <w:hyperlink r:id="rId42">
        <w:r>
          <w:rPr>
            <w:color w:val="0000FF"/>
          </w:rPr>
          <w:t>статьей 15</w:t>
        </w:r>
      </w:hyperlink>
      <w:r>
        <w:t xml:space="preserve"> Федерального закона от 24 июля 2007 года N 209-ФЗ "О развитии малого </w:t>
      </w:r>
      <w:r>
        <w:lastRenderedPageBreak/>
        <w:t>и среднего предпринимательства в Российской Федерации", оказывающих субъектам малого и среднего предпринимательства следующие формы поддержки: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финансовую;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имущественную;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консультационную;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подготовки, переподготовки и повышения квалификации работников;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в области инноваций и промышленного производства, ремесленничества;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внешнеэкономическую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поддержку субъектов малого и среднего предпринимательства, осуществляющих сельскохозяйственную деятельность.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2.6. Повышение доступности финансовых ресурсов для субъектов малого и среднего предпринимательства.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Начиная с 2021 года субсидии в рамках реализации национального проекта "Малое и среднее предпринимательство и поддержка индивидуальной предпринимательской инициативы" предоставляются Белгородской области по направлениям, предусмотренным следующими федеральными (региональными) проектами: проектом 3.12 "Создание благоприятных условий для осуществления деятельности самозанятыми гражданами", проектом 3.14 "Создание условий для легкого старта и комфортного ведения бизнеса", проектом 3.15 "Акселерация субъектов малого и среднего предпринимательства", в том числе: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3.12 "Создание благоприятных условий для осуществления деятельности самозанятыми гражданами".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будет обеспечено предоставление самозанятым гражданам комплекса информационно-консультационных и образовательных услуг организациями инфраструктуры поддержки малого и среднего предпринимательства и федеральными институтами развития (центрами компетенций) в офлайн- и онлайн-форматах;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3.14 "Создание условий для легкого старта и комфортного ведения бизнеса".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 рамках проекта субъектам малого и среднего предпринимательства, включенным в реестр социальных предпринимателей, будут оказаны комплексные услуги и (или) предоставлена финансовая поддержка в виде грантов. Гражданам, желающим вести бизнес, начинающим и действующим предпринимателям в рамках проекта будет предоставлен комплекс услуг, направленных на вовлечение в предпринимательскую деятельность, а также информационно-консультационных и образовательных услуг в офлайн- и онлайн-форматах на единой площадке региональной инфраструктуры поддержке бизнеса - центр "Мой бизнес", а также в федеральных институтах развития;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реализация проекта 3.15 "Акселерация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 2021 года в рамках проекта продолжится оказание комплекса услуг, сервисов и мер поддержки субъектам малого и среднего предпринимательства в центре "Мой бизнес", созданном в 2019 году, обеспечение доступа субъектов малого и среднего предпринимательства к экспортной поддержке через автономную некоммерческую организацию "Центр координации поддержки экспортно ориентированных субъектов малого и среднего предпринимательства Белгородской области", также созданную в марте 2019 года.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в рамках данного проекта субъектам малого и среднего предпринимательства будет обеспечено предоставление поручительств Белгородского гарантийного фонда содействия кредитованию.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Подпрограммой 3 определены приоритетные и перспективные для оказания муниципальной поддержки направления развития малого и среднего предпринимательства Губкинского городского округа Белгородской области: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производственная и инновационная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природоохранная деятельность;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переработка вторичного сырья;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строительство;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сельское хозяйство;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рыбоводство;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оптово-розничной торговли, общественного питания, сферы бытовых услуг населения и других направлений предпринимательской деятельности в сельских территориальных администрациях;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предпринимательской деятельности в сфере жилищно-коммунального хозяйства;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организация групп дневного времяпрепровождения детей дошкольного возраста и создание дошкольных образовательных центров;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 комплексов по оказанию социальных, бытовых, торговых услуг;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создание дворовых, детских и спортивных площадок;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малых форм хозяйствования на селе;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социальное предпринимательство;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деятельность в области народно-художественных промыслов, ремесленной деятельности, сельского и экологического туризма.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Сроки реализации подпрограммы 3: 2014 - 2025 годы, I этап: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2014 - 2020 годы, II этап: 2021 - 2025 годы.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Мероприятия подпрограммы 3, источники и объемы их финансирования подлежат ежегодному уточнению с учетом прогнозируемых объемов финансовых ресурсов.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3A56E6" w:rsidRDefault="003A56E6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Достижение заявленной цели и решение поставленных задач подпрограммы 3 будет осуществляться путем реализации основных мероприятий: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 "Мероприятие по поддержке субъектов малого и среднего предпринимательства в области ремесленной и выставочно-ярмарочной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3.2. "Возмещение части процентной ставки по долгосрочным, среднесрочным и краткосрочным кредитам, взятым малыми формами хозяйствования".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3.3.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</w:t>
      </w:r>
      <w:r>
        <w:lastRenderedPageBreak/>
        <w:t>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Планируется реализация мероприятий по следующим направлениям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ремесленной и выставочно-ярмарочной деятельности: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3.1.1.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"круглых столов", конкурсах предпринимателей по различным номинациям".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3.1.2. "Проведение ежегодного городского конкурса "Губкинский предприниматель", приуроченного к празднованию Дня российского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3.1.3. "Информационно-образовательная подготовка жителей Губкинского городского округа Белгородской области к ведению предпринимательской деятельности".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3.1.4.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3.1.5. "Организация мероприятий информационного характера в целях развития ТОСЭР "Губкин" и привлечения новых резидентов";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в области финансовой поддержки малого и среднего предпринимательства, а также совершенствования инфраструктуры поддержки малого и среднего предпринимательства: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3.3.1.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3.3.2.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3.3.3.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3.3.4.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3.3.5.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услуг)".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 xml:space="preserve">Система основных мероприятий и показателей подпрограммы 3 представлена в </w:t>
      </w:r>
      <w:hyperlink w:anchor="P1559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Также в целях развития малого и среднего предпринимательства Губкинского городского округа Белгородской области будут реализовываться и другие направления поддержки, не предусматривающие финансирования и не вошедшие в мероприятия подпрограммы 3: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нормативно-правовое обеспечение мероприятий по развитию и поддержке субъектов малого и среднего предпринимательства, в частности анализ эффективности муниципальных правовых актов органов местного самоуправления Губкинского городского округа в части, касающейся развития и поддержки субъектов малого и среднего предпринимательства, а также подготовка предложений о совершенствовании форм и методов поддержки субъектов малого и среднего предпринимательства Губкинского городского округа Белгородской области;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- содействие финансово-кредитной и имущественной поддержке малого и среднего предпринимательства, направленное на проведение отбора инвестиционных проектов субъектов малого и среднего предпринимательства;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сопровождение предпринимателей, организующих бизнес в сельских территориях Губкинского городского округа Белгородской области, в частности по вопросам: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а) аренды муниципальных инвестиционных площадок и земельных участков, находящихся в муниципальной собственности;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б) получения финансовой поддержки;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в) подключения к объектам инфраструктуры.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Кроме того, субъектам малого и среднего предпринимательства в рамках Программы "500/10000" предоставляются муниципальные преференции в виде предоставления земельных участков, находящихся в собственности Губкинского городского округа Белгородской области и государственная собственность на которые не разграничена, без торгов с размером арендной платы 0,01% от кадастровой стоимости земельного участка в год на период строительства;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поддержка субъектов малого и среднего предпринимательства в области инноваций и промышленного производства, что предусматривает стимулирование сотрудничества субъектов малого и среднего предпринимательства с научными организациями, организационную поддержку перспективных научных исследований и технологических разработок, популяризацию и поощрение положительных результатов деятельности инновационных предприятий, развитие промышленной зоны города Губкина (Южные Коробки);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информационная и консультационная поддержка субъектов малого и среднего предпринимательства, сокращение административных барьеров и защита прав предпринимателей, в том числе с помощью организации работы межведомственного координационного совета при главе администрации Губкинского городского округа по защите интересов субъектов малого и среднего предпринимательства, организации и проведения круглых столов с участием предпринимателей и их общественных объединений, проведения опросов субъектов малого бизнеса с целью определения его проблем и роли в социально-экономическом развитии городского округа;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развитие кадрового потенциала в сфере малого и среднего предпринимательства - посредством создания условий для повышения профессиональных знаний специалистов, относящихся к социально не защищенным группам населения, в области малого и среднего предпринимательства; оказания методической помощи субъектам малого и среднего предпринимательства по вопросам, связанным с защитой прав потребителей; организация консультационной деятельности по вопросам трудового законодательства;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повышение социальной ответственности бизнеса и развитие социального партнерства. Мероприятия направлены на совершенствование взаимодействия бизнеса и власти, повышение социальной ответственности малого и среднего предпринимательства и предусматривают оказание содействия развитию молодежного бизнеса; семейного бизнеса; малого бизнеса в сельских населенных пунктах городского округа; предпринимательской деятельности социально незащищенных категорий населения; ремесленной деятельности субъектов малого и среднего предпринимательства; туристического бизнеса. Предполагается оказывать содействие вовлечению работодателей - субъектов малого и среднего предпринимательства в переговорные процессы по заключению соглашений, коллективных договоров, созданию профсоюзных организаций с целью обеспечения социальных гарантий работающим, повышению ответственности работодателей за обеспечение работникам малых и средних предприятий необходимых условий охраны труда и социальных гарантий.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В результате реализации подпрограммы 3 к 2025 году планируется достижение следующих конечных результатов &lt;**&gt; (</w:t>
      </w:r>
      <w:hyperlink w:anchor="P1559">
        <w:r>
          <w:rPr>
            <w:color w:val="0000FF"/>
          </w:rPr>
          <w:t>приложение N 1</w:t>
        </w:r>
      </w:hyperlink>
      <w:r>
        <w:t xml:space="preserve"> к Программе):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увеличение годового оборота малых и средних предприятий,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- 12,27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lastRenderedPageBreak/>
        <w:t>2015 год - 12,83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- 17,28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- 18,13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- 19,02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- 19,78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- 20,40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- 21,40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- 22,80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- 24,30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- 25,70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- 27,30 млрд. рублей;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- достижение уровня доли занятых в малом и среднем бизнесе, включая ИП, в общей численности занятых к 2025 году 31,1%, в том числе по годам: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2014 год - 23,9%;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2015 год - 22,0%;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2016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2017 год - 29,5%;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2018 год - 29,6%;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2019 год - 27,9%;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2020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2021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2022 год - 27,5%;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2023 год - 28,6%;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2024 год - 29,9%;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2025 год - 31,1%.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Реализация подпрограммы 3 будет способствовать повышению роли малого и среднего предпринимательства в экономических процессах городского округа, улучшению отраслевой структуры малого и среднего предпринимательства и диверсификации экономики за счет развития производственных и инновационных видов предпринимательской деятельности, росту занятости населения.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>Предполагаемые объемы финансирования подпрограммы 3 на 2014 - 2025 годы, I этап: 2014 - 2020 годы, II этап: 2021 - 2025 годы реализации приведены в таблицах 1 и 2 соответственно этапам реализации подпрограммы.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right"/>
      </w:pPr>
      <w:r>
        <w:t>Таблица 1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247"/>
        <w:gridCol w:w="1024"/>
        <w:gridCol w:w="784"/>
        <w:gridCol w:w="604"/>
        <w:gridCol w:w="724"/>
        <w:gridCol w:w="904"/>
        <w:gridCol w:w="904"/>
        <w:gridCol w:w="904"/>
      </w:tblGrid>
      <w:tr w:rsidR="003A56E6">
        <w:tc>
          <w:tcPr>
            <w:tcW w:w="1928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7095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2014 - 2020 годы</w:t>
            </w:r>
          </w:p>
        </w:tc>
        <w:tc>
          <w:tcPr>
            <w:tcW w:w="584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1928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24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85360,412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60222,85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7518,85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928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3175,112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928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24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14443,6</w:t>
            </w:r>
          </w:p>
        </w:tc>
        <w:tc>
          <w:tcPr>
            <w:tcW w:w="10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0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Таблица 2</w:t>
      </w:r>
    </w:p>
    <w:p w:rsidR="003A56E6" w:rsidRDefault="003A56E6">
      <w:pPr>
        <w:pStyle w:val="ConsPlusNormal"/>
        <w:ind w:firstLine="540"/>
        <w:jc w:val="both"/>
      </w:pPr>
    </w:p>
    <w:p w:rsidR="003A56E6" w:rsidRDefault="003A56E6">
      <w:pPr>
        <w:pStyle w:val="ConsPlusNormal"/>
        <w:jc w:val="center"/>
      </w:pPr>
      <w:r>
        <w:t>II этап реализации подпрограммы 3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</w:pPr>
      <w:r>
        <w:t>тыс. рублей</w:t>
      </w:r>
    </w:p>
    <w:p w:rsidR="003A56E6" w:rsidRDefault="003A56E6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814"/>
        <w:gridCol w:w="794"/>
        <w:gridCol w:w="794"/>
        <w:gridCol w:w="737"/>
        <w:gridCol w:w="680"/>
        <w:gridCol w:w="680"/>
      </w:tblGrid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  <w:r>
              <w:t>Показатель</w:t>
            </w:r>
          </w:p>
        </w:tc>
        <w:tc>
          <w:tcPr>
            <w:tcW w:w="5499" w:type="dxa"/>
            <w:gridSpan w:val="6"/>
          </w:tcPr>
          <w:p w:rsidR="003A56E6" w:rsidRDefault="003A56E6">
            <w:pPr>
              <w:pStyle w:val="ConsPlusNormal"/>
              <w:jc w:val="center"/>
            </w:pPr>
            <w:r>
              <w:t>Ресурсное обеспечение мероприятий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Всего за 2021 - 2025 годы</w:t>
            </w:r>
          </w:p>
        </w:tc>
        <w:tc>
          <w:tcPr>
            <w:tcW w:w="3685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в том числе по годам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81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3572" w:type="dxa"/>
            <w:vAlign w:val="bottom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181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9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3572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81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794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737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80" w:type="dxa"/>
            <w:vAlign w:val="center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3572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81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9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37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80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Белгородской области по годам представлены в </w:t>
      </w:r>
      <w:hyperlink w:anchor="P3395">
        <w:r>
          <w:rPr>
            <w:color w:val="0000FF"/>
          </w:rPr>
          <w:t>приложении N 4</w:t>
        </w:r>
      </w:hyperlink>
      <w:r>
        <w:t xml:space="preserve"> к Программе.</w:t>
      </w:r>
    </w:p>
    <w:p w:rsidR="003A56E6" w:rsidRDefault="003A56E6">
      <w:pPr>
        <w:pStyle w:val="ConsPlusNormal"/>
        <w:spacing w:before="20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1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0" w:name="P1559"/>
      <w:bookmarkEnd w:id="10"/>
      <w:r>
        <w:t>Система основных мероприятий (мероприятий) и показателей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 w:rsidSect="00F360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1129"/>
        <w:gridCol w:w="979"/>
        <w:gridCol w:w="664"/>
        <w:gridCol w:w="664"/>
        <w:gridCol w:w="664"/>
        <w:gridCol w:w="664"/>
        <w:gridCol w:w="664"/>
        <w:gridCol w:w="664"/>
        <w:gridCol w:w="72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6816" w:type="dxa"/>
            <w:gridSpan w:val="9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2012 год (базовый)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2013 год (оценка)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2016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2017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2018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2019 год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2020 год (итог)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</w:t>
            </w:r>
          </w:p>
          <w:p w:rsidR="003A56E6" w:rsidRDefault="003A56E6">
            <w:pPr>
              <w:pStyle w:val="ConsPlusNormal"/>
            </w:pPr>
            <w:r>
              <w:t>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 Объем товарооборота общественного питания, млн.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346,1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407,8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498,7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490,7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513,8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3,37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3,74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1.3. Количество посадочных мест в предприятиях общественного питания,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8552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9029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9700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9950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9360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9450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70,7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80,3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1.1.2. Количество предприятий, внедривших форму обслуживания кейтеринг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14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услуг и защиты прав </w:t>
            </w:r>
            <w:r>
              <w:lastRenderedPageBreak/>
              <w:t>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13,1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24,3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108,8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166,6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172,3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194,3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207,9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64,9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67,3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79,0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83,0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538,0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557,0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602,0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625,0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630,0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641,7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680,0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691,6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сложно-бытовой и компьютерной техники, продажа товаров в рассрочку, заказ товаров по каталогам), нарастающим итогом,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Подпрограмма 3 "Развитие и </w:t>
            </w:r>
            <w:r>
              <w:lastRenderedPageBreak/>
              <w:t>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 Оборот малых и </w:t>
            </w:r>
            <w:r>
              <w:lastRenderedPageBreak/>
              <w:t>средних предприятий в действующих ценах, млрд. рублей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9,99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11,14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12,27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17,28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18,13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19,02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19,78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20,4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24,40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24,42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27,9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5093" w:type="dxa"/>
            <w:gridSpan w:val="12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3706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3328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3408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3460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3541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3282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2699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предпринимателей по различным номинациям,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3.1.2 "Проведение </w:t>
            </w:r>
            <w:r>
              <w:lastRenderedPageBreak/>
              <w:t>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3.1.2.1. Количество </w:t>
            </w:r>
            <w:r>
              <w:lastRenderedPageBreak/>
              <w:t>организованных мероприятий по празднованию Дня российского предпринимательства,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"Губкин",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3.2 "Возмещение части процентной ставки по долгосрочным, 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3.2.1. Количество просубсидированных кредитов КФХ и ЛПХ,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276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251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8,98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8,17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3.3.2.1. Количество субъектов малого и среднего предпринимательства, получателей субсидии на условиях долевого финансирования целевых расходов по уплате первого взноса (аванса) при заключении договора лизинга оборудования, </w:t>
            </w:r>
            <w:r>
              <w:lastRenderedPageBreak/>
              <w:t>выплатами по передаче прав на франшизу (паушальный взнос),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 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3.3.3.1.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112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79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3679"/>
        <w:gridCol w:w="1939"/>
        <w:gridCol w:w="2659"/>
        <w:gridCol w:w="664"/>
        <w:gridCol w:w="664"/>
        <w:gridCol w:w="664"/>
        <w:gridCol w:w="664"/>
        <w:gridCol w:w="664"/>
      </w:tblGrid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подпрограмм, основных мероприятий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3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2025 год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потребительского рынка, бытовых услуг и защиты прав потребителей,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1.</w:t>
            </w:r>
          </w:p>
          <w:p w:rsidR="003A56E6" w:rsidRDefault="003A56E6">
            <w:pPr>
              <w:pStyle w:val="ConsPlusNormal"/>
            </w:pPr>
            <w:r>
              <w:t>Количество посадочных мест в предприятиях общественного питания,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2.</w:t>
            </w:r>
          </w:p>
          <w:p w:rsidR="003A56E6" w:rsidRDefault="003A56E6">
            <w:pPr>
              <w:pStyle w:val="ConsPlusNormal"/>
            </w:pPr>
            <w:r>
              <w:t>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Показатель 3.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Объем товарооборота общественного питания, млн.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534,9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563,2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590,3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653,7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 Оборот общественного питания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1.3. Количество посадочных мест в предприятиях общественного питания, </w:t>
            </w:r>
            <w:r>
              <w:lastRenderedPageBreak/>
              <w:t>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9470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9475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9550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9600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1.4. Обеспеченность населения посадочными местами в предприятиях общественного питания на 1 тысячу жителей,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1.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1.1.1. Количество обученных специалистов,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1.1.2. Количество предприятий, внедривших форму обслуживания кейтеринг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2.1.2.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175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180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1.2.2. Количество предприятий, внедривших новые методы обработки продукции и новые блюда, ед. (нарастающим итогом)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</w:t>
            </w:r>
            <w:r>
              <w:lastRenderedPageBreak/>
              <w:t>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2.1. Объем розничного товарооборота,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32,9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 Объем розничного товарооборота на душу населения, тыс.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222,2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236,4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282,7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2.3. Торговая площадь, тыс.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88,3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89,7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90.5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91,8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2.4. Обеспеченность торговыми площадями на 1 тысячу жителей, кв. м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747,9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758,4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772,5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786,5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788,6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2. Повышение качества и культуры обслуживания населения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3.1.1.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 "Профессиональная подготовка, переподготовка и повышение квалификации"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2.1.1. Количество обучаемых специалистов торговых предприятий,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85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2.1.2. Количество предприятий, внедривших новые технологии, формы и методы торговли (нарастающим итогом),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3.1.2.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 "Мероприятия, направленные на повышение уровня профессионального мастерства"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2.2.1. Количество предприятий, принявших участие в конкурсе,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2.2.2. Количество предприятий, которые расширили и совершенствовали дополнительные услуги (организация работы отделов кулинарии, доставка товаров на дом, сборка и установка крупногабаритных товаров на дому, установка сложно-бытовой и компьютерной техники, продажа товаров в рассрочку, заказ товаров </w:t>
            </w:r>
            <w:r>
              <w:lastRenderedPageBreak/>
              <w:t>по каталогам), нарастающим итогом,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 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Оборот малых и средних предприятий в действующих ценах, млрд. рублей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22,8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24.3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27,3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3.2. Доля занятых в малом и среднем бизнесе, включая ИП, в общей численности занятых,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27,5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31,1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11597" w:type="dxa"/>
            <w:gridSpan w:val="8"/>
          </w:tcPr>
          <w:p w:rsidR="003A56E6" w:rsidRDefault="003A56E6">
            <w:pPr>
              <w:pStyle w:val="ConsPlusNormal"/>
              <w:jc w:val="center"/>
            </w:pPr>
            <w:r>
              <w:t>Задача 3. Обеспечение благоприятных условий для развития и комплексной поддержки субъектов малого и среднего предпринимательства в целях повышения его вклада в социально-экономическое развитие Губкинского городского округа Белгородской области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Основное мероприятие 3.1 "Мероприятие по поддержке субъектов малого и среднего предпринимательства в области ремесленной и выставочно-ярмарочной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экономии и ценовой политики,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 Количество действующих субъектов малого и среднего предпринимательства на конец года,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4150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2563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2585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2600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2620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3.1.1 "Организация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заседаниях круглых столов, конкурсах предпринимателей по различным </w:t>
            </w:r>
            <w:r>
              <w:lastRenderedPageBreak/>
              <w:t>номинациям"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 xml:space="preserve">3.1.1.1. Количество субъектов малого и среднего предпринимательства, участвовавших в выставочно-ярмарочной деятельности, конференциях, форумах, заседаниях круглых столов, конкурсах </w:t>
            </w:r>
            <w:r>
              <w:lastRenderedPageBreak/>
              <w:t>предпринимателей по различным номинациям,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3.1.2 "Проведение ежегодного городского конкурса "Губкинский предприниматель", приуроченного к празднованию Дня российского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3.1.2.1. Количество организованных мероприятий по празднованию Дня российского предпринимательства,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3.1.3 "Информационно-образовательная подготовка жителей Губкинского городского округа Белгородской области к ведению предпринимательской деятельности"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3.1.3.1. Количество принявших участие, чел.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3.1.4 "Организация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3.1.4.1. Количество областных совещаний по развитию сферы сельского хозяйства на территории Губкинского городского округа Белгородской области,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4.1.1.5.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3.1.5 "Организация мероприятий информационного характера в целях развития ТОСЭР "Губкин" и привлечения новых резидентов"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3.1.5.1. Количество зарегистрированных резидентов ТОСЭР Губкин",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3.2 "Возмещение части процентной ставки по долгосрочным, </w:t>
            </w:r>
            <w:r>
              <w:lastRenderedPageBreak/>
              <w:t>среднесрочным и краткосрочным кредитам, взятым малыми формами хозяйствования"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>3.2.1. Количество просубсидированных кредитов КФХ и ЛПХ,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4.1.3.</w:t>
            </w:r>
          </w:p>
        </w:tc>
        <w:tc>
          <w:tcPr>
            <w:tcW w:w="367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 "Финансовая поддержка малого и среднего предпринимательства, совершенствование инфраструктуры поддержки малого и среднего предпринимательства в Губкинском городском округе Белгородской области",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 Доля оборота малых и средних предприятий в общем обороте предприятий и организаций городского округа, %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11,6</w:t>
            </w:r>
          </w:p>
        </w:tc>
      </w:tr>
      <w:tr w:rsidR="003A56E6">
        <w:tc>
          <w:tcPr>
            <w:tcW w:w="84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7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3.3.2. Количество субъектов малого и среднего предпринимательства, получивших поддержку,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4.1.3.1.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3.3.1 "Предоставление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3.3.1.1. Предельные расходы бюджета Губкинского городского округа Белгородской области по исполнению гарантийных обязательств в связи с наступлением гарантийного случая, тыс. руб. (не более указанной суммы в год)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4.1.3.2.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3.3.2 "Субсидирование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</w:t>
            </w:r>
            <w:r>
              <w:lastRenderedPageBreak/>
              <w:t>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экономики и </w:t>
            </w:r>
            <w:r>
              <w:lastRenderedPageBreak/>
              <w:t>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3.3.2.1. Количество субъектов малого и среднего предпринимательства, получателей субсидии на условиях долевого </w:t>
            </w:r>
            <w:r>
              <w:lastRenderedPageBreak/>
              <w:t>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4.1.3.3.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3.3.3</w:t>
            </w:r>
          </w:p>
          <w:p w:rsidR="003A56E6" w:rsidRDefault="003A56E6">
            <w:pPr>
              <w:pStyle w:val="ConsPlusNormal"/>
            </w:pPr>
            <w:r>
              <w:t>"Субсидирование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3.3.3.2. Количество субъектов социального предпринимательства -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4.1.3.4.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>Мероприятие 3.3.4 "Субсидирование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3.3.4.1.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844" w:type="dxa"/>
          </w:tcPr>
          <w:p w:rsidR="003A56E6" w:rsidRDefault="003A56E6">
            <w:pPr>
              <w:pStyle w:val="ConsPlusNormal"/>
              <w:jc w:val="center"/>
            </w:pPr>
            <w:r>
              <w:t>4.1.3.5.</w:t>
            </w:r>
          </w:p>
        </w:tc>
        <w:tc>
          <w:tcPr>
            <w:tcW w:w="3679" w:type="dxa"/>
          </w:tcPr>
          <w:p w:rsidR="003A56E6" w:rsidRDefault="003A56E6">
            <w:pPr>
              <w:pStyle w:val="ConsPlusNormal"/>
            </w:pPr>
            <w:r>
              <w:t xml:space="preserve">Мероприятие 3.3.5 "Субсидирование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</w:t>
            </w:r>
            <w:r>
              <w:lastRenderedPageBreak/>
              <w:t>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</w:pPr>
            <w:r>
              <w:t>3.3.5.1. Количество субъектов малого и среднего предпринимательства, получателей субсидии, ед.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2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1" w:name="P2330"/>
      <w:bookmarkEnd w:id="11"/>
      <w:r>
        <w:t>Основные меры правового регулирования в сфере реализации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984"/>
        <w:gridCol w:w="2324"/>
        <w:gridCol w:w="2494"/>
        <w:gridCol w:w="1774"/>
      </w:tblGrid>
      <w:tr w:rsidR="003A56E6">
        <w:tc>
          <w:tcPr>
            <w:tcW w:w="48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3A56E6">
        <w:tc>
          <w:tcPr>
            <w:tcW w:w="906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1 "Развитие общественного питания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1.1.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"Об утверждении положения о проведении конкурса профессионального мастерства"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</w:t>
            </w:r>
          </w:p>
        </w:tc>
        <w:tc>
          <w:tcPr>
            <w:tcW w:w="8576" w:type="dxa"/>
            <w:gridSpan w:val="4"/>
          </w:tcPr>
          <w:p w:rsidR="003A56E6" w:rsidRDefault="003A56E6">
            <w:pPr>
              <w:pStyle w:val="ConsPlusNormal"/>
              <w:jc w:val="center"/>
            </w:pPr>
            <w:r>
              <w:t>Подпрограмма 2 "Развитие торговли на территории Губкинского городского округа Белгородской области"</w:t>
            </w:r>
          </w:p>
        </w:tc>
      </w:tr>
      <w:tr w:rsidR="003A56E6">
        <w:tc>
          <w:tcPr>
            <w:tcW w:w="484" w:type="dxa"/>
          </w:tcPr>
          <w:p w:rsidR="003A56E6" w:rsidRDefault="003A56E6">
            <w:pPr>
              <w:pStyle w:val="ConsPlusNormal"/>
            </w:pPr>
            <w:r>
              <w:t>2.1.</w:t>
            </w:r>
          </w:p>
        </w:tc>
        <w:tc>
          <w:tcPr>
            <w:tcW w:w="1984" w:type="dxa"/>
          </w:tcPr>
          <w:p w:rsidR="003A56E6" w:rsidRDefault="003A56E6">
            <w:pPr>
              <w:pStyle w:val="ConsPlusNormal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"О проведении конкурса на лучшее предприятие торговли"</w:t>
            </w:r>
          </w:p>
        </w:tc>
        <w:tc>
          <w:tcPr>
            <w:tcW w:w="2494" w:type="dxa"/>
          </w:tcPr>
          <w:p w:rsidR="003A56E6" w:rsidRDefault="003A56E6">
            <w:pPr>
              <w:pStyle w:val="ConsPlusNormal"/>
            </w:pPr>
            <w:r>
              <w:t>Управление потребительского рынка, бытовых услуг и защиты прав потребителей</w:t>
            </w:r>
          </w:p>
        </w:tc>
        <w:tc>
          <w:tcPr>
            <w:tcW w:w="1774" w:type="dxa"/>
          </w:tcPr>
          <w:p w:rsidR="003A56E6" w:rsidRDefault="003A56E6">
            <w:pPr>
              <w:pStyle w:val="ConsPlusNormal"/>
            </w:pPr>
            <w:r>
              <w:t>2014 - 2025 годы (по мере необходимости)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3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r>
        <w:t>Ресурсное обеспечение и прогнозная (справочная) оценка</w:t>
      </w:r>
    </w:p>
    <w:p w:rsidR="003A56E6" w:rsidRDefault="003A56E6">
      <w:pPr>
        <w:pStyle w:val="ConsPlusTitle"/>
        <w:jc w:val="center"/>
      </w:pPr>
      <w:r>
        <w:t>расходов на реализацию основных мероприятий (мероприятий)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Title"/>
        <w:jc w:val="center"/>
      </w:pPr>
      <w:r>
        <w:t>из различных источников финансирования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4"/>
        <w:gridCol w:w="2659"/>
        <w:gridCol w:w="1864"/>
        <w:gridCol w:w="1024"/>
        <w:gridCol w:w="784"/>
        <w:gridCol w:w="604"/>
        <w:gridCol w:w="724"/>
        <w:gridCol w:w="904"/>
        <w:gridCol w:w="904"/>
        <w:gridCol w:w="964"/>
      </w:tblGrid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6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590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1624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3143,512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4455,5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9384,6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34961,4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15163,4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1 1670,2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blPrEx>
          <w:tblBorders>
            <w:left w:val="nil"/>
          </w:tblBorders>
        </w:tblPrEx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3093,512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4355,5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1141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17433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9324,6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34905,4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15107,4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324,0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3412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1746,35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1169,5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6870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6453,65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3074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4294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993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459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405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92,5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324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244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108,75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23,5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2750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4050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296,25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16923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8868,6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34676,7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15058,4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3340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1637,6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1146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490,0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6483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6157,4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27500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11670,2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6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86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102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3A56E6" w:rsidRDefault="003A56E6">
            <w:pPr>
              <w:pStyle w:val="ConsPlusNormal"/>
              <w:jc w:val="center"/>
            </w:pPr>
            <w:r>
              <w:t>7000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662,4</w:t>
            </w:r>
          </w:p>
        </w:tc>
        <w:tc>
          <w:tcPr>
            <w:tcW w:w="904" w:type="dxa"/>
          </w:tcPr>
          <w:p w:rsidR="003A56E6" w:rsidRDefault="003A56E6">
            <w:pPr>
              <w:pStyle w:val="ConsPlusNormal"/>
              <w:jc w:val="center"/>
            </w:pPr>
            <w:r>
              <w:t>4523</w:t>
            </w:r>
          </w:p>
        </w:tc>
        <w:tc>
          <w:tcPr>
            <w:tcW w:w="964" w:type="dxa"/>
          </w:tcPr>
          <w:p w:rsidR="003A56E6" w:rsidRDefault="003A56E6">
            <w:pPr>
              <w:pStyle w:val="ConsPlusNormal"/>
              <w:jc w:val="center"/>
            </w:pPr>
            <w:r>
              <w:t>2258,2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659"/>
        <w:gridCol w:w="2324"/>
        <w:gridCol w:w="604"/>
        <w:gridCol w:w="604"/>
        <w:gridCol w:w="604"/>
        <w:gridCol w:w="604"/>
        <w:gridCol w:w="604"/>
      </w:tblGrid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32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302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Оценка расходов (тыс. рублей), годы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020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59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Программа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экономического потенциала и формирование благоприятного предпринимательского климата в Губкинском городском округе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общественного питания на территории Губкинского городского округа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торговли на территории Губкинского городского округа Белгородской области</w:t>
            </w: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2.2.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Развитие и поддержка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 xml:space="preserve">областной бюджет </w:t>
            </w:r>
            <w:r>
              <w:lastRenderedPageBreak/>
              <w:t>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2659" w:type="dxa"/>
            <w:vMerge w:val="restart"/>
          </w:tcPr>
          <w:p w:rsidR="003A56E6" w:rsidRDefault="003A56E6">
            <w:pPr>
              <w:pStyle w:val="ConsPlusNormal"/>
            </w:pPr>
            <w: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2659" w:type="dxa"/>
            <w:vMerge w:val="restart"/>
            <w:vAlign w:val="bottom"/>
          </w:tcPr>
          <w:p w:rsidR="003A56E6" w:rsidRDefault="003A56E6">
            <w:pPr>
              <w:pStyle w:val="ConsPlusNormal"/>
            </w:pPr>
            <w:r>
              <w:t xml:space="preserve"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</w:t>
            </w:r>
            <w:r>
              <w:lastRenderedPageBreak/>
              <w:t>предпринимательской инициативы"</w:t>
            </w: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bottom"/>
          </w:tcPr>
          <w:p w:rsidR="003A56E6" w:rsidRDefault="003A56E6">
            <w:pPr>
              <w:pStyle w:val="ConsPlusNormal"/>
            </w:pPr>
            <w:r>
              <w:t>бюджет Губкинского городского округа Белгородской области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областной бюджет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федеральный бюджет &lt;***&gt;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  <w:vAlign w:val="center"/>
          </w:tcPr>
          <w:p w:rsidR="003A56E6" w:rsidRDefault="003A56E6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  <w:tr w:rsidR="003A56E6">
        <w:tc>
          <w:tcPr>
            <w:tcW w:w="1020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65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2324" w:type="dxa"/>
          </w:tcPr>
          <w:p w:rsidR="003A56E6" w:rsidRDefault="003A56E6">
            <w:pPr>
              <w:pStyle w:val="ConsPlusNormal"/>
            </w:pPr>
            <w:r>
              <w:t>иные источники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-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4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</w:pPr>
      <w:bookmarkStart w:id="12" w:name="P3395"/>
      <w:bookmarkEnd w:id="12"/>
      <w:r>
        <w:t>Ресурсное обеспечение реализации муниципальной программы</w:t>
      </w:r>
    </w:p>
    <w:p w:rsidR="003A56E6" w:rsidRDefault="003A56E6">
      <w:pPr>
        <w:pStyle w:val="ConsPlusTitle"/>
        <w:jc w:val="center"/>
      </w:pPr>
      <w:r>
        <w:t>"Развитие экономического потенциала и формирование</w:t>
      </w:r>
    </w:p>
    <w:p w:rsidR="003A56E6" w:rsidRDefault="003A56E6">
      <w:pPr>
        <w:pStyle w:val="ConsPlusTitle"/>
        <w:jc w:val="center"/>
      </w:pPr>
      <w:r>
        <w:t>благоприятного предпринимательского климата в Губкинском</w:t>
      </w:r>
    </w:p>
    <w:p w:rsidR="003A56E6" w:rsidRDefault="003A56E6">
      <w:pPr>
        <w:pStyle w:val="ConsPlusTitle"/>
        <w:jc w:val="center"/>
      </w:pPr>
      <w:r>
        <w:t>городском округе Белгородской области" за счет средств</w:t>
      </w:r>
    </w:p>
    <w:p w:rsidR="003A56E6" w:rsidRDefault="003A56E6">
      <w:pPr>
        <w:pStyle w:val="ConsPlusTitle"/>
        <w:jc w:val="center"/>
      </w:pPr>
      <w:r>
        <w:t>бюджета Губкинского городского округа Белгородской области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 этап реализации Программы</w:t>
      </w: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sectPr w:rsidR="003A56E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604"/>
        <w:gridCol w:w="1939"/>
        <w:gridCol w:w="694"/>
        <w:gridCol w:w="1339"/>
        <w:gridCol w:w="784"/>
        <w:gridCol w:w="664"/>
        <w:gridCol w:w="604"/>
        <w:gridCol w:w="784"/>
        <w:gridCol w:w="784"/>
        <w:gridCol w:w="784"/>
        <w:gridCol w:w="664"/>
      </w:tblGrid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068" w:type="dxa"/>
            <w:gridSpan w:val="7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2020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522,2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1699,9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745,0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lastRenderedPageBreak/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</w:t>
            </w:r>
            <w:r>
              <w:lastRenderedPageBreak/>
              <w:t>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462,2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1643,9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689,0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19,512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136,2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49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выставочно-ярмарочной деятельности субъектов малого и среднего предпринимательства, организация участия субъектов малого и </w:t>
            </w:r>
            <w:r>
              <w:lastRenderedPageBreak/>
              <w:t>среднего предпринимательства в конференциях, форумах, 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управления </w:t>
            </w:r>
            <w:r>
              <w:lastRenderedPageBreak/>
              <w:t>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6,512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13,05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19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18,95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87,2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Основн</w:t>
            </w:r>
            <w:r>
              <w:lastRenderedPageBreak/>
              <w:t>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Возмещение части процентной </w:t>
            </w:r>
            <w:r>
              <w:lastRenderedPageBreak/>
              <w:t>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области, в том числе в рамках федерального проекта "Акселерация субъектов малого и среднего предпринимательства", реализуемого в рамках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411,2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640,0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3000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</w:t>
            </w:r>
            <w:r>
              <w:lastRenderedPageBreak/>
              <w:t>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23,648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92,64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(возмещение) части затрат субъектов малого и среднего предпринимательства, осуществляющих деятельность в 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76,352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83,54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1507,7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640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33,64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907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0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201,38</w:t>
            </w:r>
          </w:p>
        </w:tc>
        <w:tc>
          <w:tcPr>
            <w:tcW w:w="78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6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sectPr w:rsidR="003A56E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Title"/>
        <w:jc w:val="center"/>
        <w:outlineLvl w:val="2"/>
      </w:pPr>
      <w:r>
        <w:t>II этап реализации Программы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3604"/>
        <w:gridCol w:w="1939"/>
        <w:gridCol w:w="694"/>
        <w:gridCol w:w="1339"/>
        <w:gridCol w:w="634"/>
        <w:gridCol w:w="634"/>
        <w:gridCol w:w="634"/>
        <w:gridCol w:w="634"/>
        <w:gridCol w:w="634"/>
      </w:tblGrid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39" w:type="dxa"/>
            <w:vMerge w:val="restart"/>
          </w:tcPr>
          <w:p w:rsidR="003A56E6" w:rsidRDefault="003A56E6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33" w:type="dxa"/>
            <w:gridSpan w:val="2"/>
          </w:tcPr>
          <w:p w:rsidR="003A56E6" w:rsidRDefault="003A56E6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170" w:type="dxa"/>
            <w:gridSpan w:val="5"/>
          </w:tcPr>
          <w:p w:rsidR="003A56E6" w:rsidRDefault="003A56E6">
            <w:pPr>
              <w:pStyle w:val="ConsPlusNormal"/>
              <w:jc w:val="center"/>
            </w:pPr>
            <w:r>
              <w:t>Расходы (тыс. рублей), годы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2025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0900000000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126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1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общественного питания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 xml:space="preserve">Администрация Губкинского городского округа (в лице управления потребительского рынка, бытовых </w:t>
            </w:r>
            <w:r>
              <w:lastRenderedPageBreak/>
              <w:t>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0910229290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2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торговли на территории Губкинского городского округа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2.1.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0920120450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18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Мероприятия, направленные на </w:t>
            </w:r>
            <w:r>
              <w:lastRenderedPageBreak/>
              <w:t>повышение уровня профессионального мастерства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</w:t>
            </w:r>
            <w:r>
              <w:lastRenderedPageBreak/>
              <w:t>Губкинского городского округа (в лице управления потребительского рынка, бытовых услуг и защиты прав потребителей)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0920229290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Подпрограмма 3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"Развитие и поддержка субъектов малого и среднего предпринимательства в Губкинском городском округе Белгородской области"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0930000000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3.1.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Мероприятие по поддержке субъектов малого и среднего предпринимательства в области ремесленной и выставочно-ярмарочной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политики,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70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Организация выставочно-ярмарочной деятельности субъектов малого и среднего предпринимательства, организация участия субъектов малого и среднего предпринимательства в конференциях, форумах, </w:t>
            </w:r>
            <w:r>
              <w:lastRenderedPageBreak/>
              <w:t>заседаниях круглых столов, конкурсах предпринимателей по различным номинациям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13,2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17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Проведение ежегодного городского конкурса "Губкинский предприниматель", приуроченного к празднованию Дня российского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16,8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23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Информационно-образовательная подготовка жителей Губкинского городского округа Белгородской области к ведению предпринимательской деятельности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и проведение на территории Губкинского городского округа Белгородской области областных совещаний по развитию сферы сельского хозяйства и занятых в нем ЛПХ и субъектов малого и среднего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3.1.5.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Организация мероприятий информационного характера в целях развития ТОСЭР "Губкин" и привлечения новых резидентов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0930129310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Основное мероприятие 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Возмещение части процентной ставки по долгосрочным, среднесрочным и краткосрочным </w:t>
            </w:r>
            <w:r>
              <w:lastRenderedPageBreak/>
              <w:t>кредитам, взятым малыми формами хозяйствования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</w:t>
            </w:r>
            <w:r>
              <w:lastRenderedPageBreak/>
              <w:t>(в лице управления сельского хозяйства)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  <w:vMerge w:val="restart"/>
          </w:tcPr>
          <w:p w:rsidR="003A56E6" w:rsidRDefault="003A56E6">
            <w:pPr>
              <w:pStyle w:val="ConsPlusNormal"/>
            </w:pPr>
            <w:r>
              <w:t>Основное мероприятие 3.3.</w:t>
            </w:r>
          </w:p>
        </w:tc>
        <w:tc>
          <w:tcPr>
            <w:tcW w:w="3604" w:type="dxa"/>
            <w:vMerge w:val="restart"/>
          </w:tcPr>
          <w:p w:rsidR="003A56E6" w:rsidRDefault="003A56E6">
            <w:pPr>
              <w:pStyle w:val="ConsPlusNormal"/>
            </w:pPr>
            <w:r>
              <w:t>Финансовая поддержка малого и среднего предпринимательства, а также совершенствование инфраструктуры поддержки малого и среднего предпринимательства в Губкинском городском округе Белгородской области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Всего, в том числе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3604" w:type="dxa"/>
            <w:vMerge/>
          </w:tcPr>
          <w:p w:rsidR="003A56E6" w:rsidRDefault="003A56E6">
            <w:pPr>
              <w:pStyle w:val="ConsPlusNormal"/>
            </w:pP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0930300000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3.3.1.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Предоставление муниципальных гарантий субъектам малого и среднего предпринимательства для обеспечения исполнения их обязательств перед третьими лицами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3000 &lt;**&gt;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3.3.2.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 (гранты) - производителей товаров, работ, услуг, предоставляемых на условиях долевого финансирования целевых расходов по уплате первого взноса (аванса) при заключении договора лизинга оборудования, выплатами по передаче прав на франшизу (паушальный взнос)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0930660020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3.3.3.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 xml:space="preserve">Субсидирование (возмещение) части затрат субъектов малого и среднего предпринимательства, осуществляющих деятельность в </w:t>
            </w:r>
            <w:r>
              <w:lastRenderedPageBreak/>
              <w:t>сфере социального предпринимательства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lastRenderedPageBreak/>
              <w:t xml:space="preserve">Администрация Губкинского городского округа (в лице </w:t>
            </w:r>
            <w:r>
              <w:lastRenderedPageBreak/>
              <w:t>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3.3.4.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0931555270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  <w:tr w:rsidR="003A56E6">
        <w:tc>
          <w:tcPr>
            <w:tcW w:w="1789" w:type="dxa"/>
          </w:tcPr>
          <w:p w:rsidR="003A56E6" w:rsidRDefault="003A56E6">
            <w:pPr>
              <w:pStyle w:val="ConsPlusNormal"/>
            </w:pPr>
            <w:r>
              <w:t>Мероприятие 3.3.5.</w:t>
            </w:r>
          </w:p>
        </w:tc>
        <w:tc>
          <w:tcPr>
            <w:tcW w:w="3604" w:type="dxa"/>
          </w:tcPr>
          <w:p w:rsidR="003A56E6" w:rsidRDefault="003A56E6">
            <w:pPr>
              <w:pStyle w:val="ConsPlusNormal"/>
            </w:pPr>
            <w:r>
              <w:t>Субсидирование части затрат субъектов малого и среднего предпринимательства, связанных с уплатой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</w:t>
            </w:r>
          </w:p>
        </w:tc>
        <w:tc>
          <w:tcPr>
            <w:tcW w:w="1939" w:type="dxa"/>
          </w:tcPr>
          <w:p w:rsidR="003A56E6" w:rsidRDefault="003A56E6">
            <w:pPr>
              <w:pStyle w:val="ConsPlusNormal"/>
            </w:pPr>
            <w:r>
              <w:t>Администрация Губкинского городского округа (в лице управления экономики и ценовой политики)</w:t>
            </w:r>
          </w:p>
        </w:tc>
        <w:tc>
          <w:tcPr>
            <w:tcW w:w="694" w:type="dxa"/>
          </w:tcPr>
          <w:p w:rsidR="003A56E6" w:rsidRDefault="003A56E6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39" w:type="dxa"/>
          </w:tcPr>
          <w:p w:rsidR="003A56E6" w:rsidRDefault="003A56E6">
            <w:pPr>
              <w:pStyle w:val="ConsPlusNormal"/>
              <w:jc w:val="center"/>
            </w:pPr>
            <w:r>
              <w:t>09303L5270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3A56E6" w:rsidRDefault="003A56E6">
            <w:pPr>
              <w:pStyle w:val="ConsPlusNormal"/>
              <w:jc w:val="center"/>
            </w:pPr>
            <w:r>
              <w:t>0</w:t>
            </w:r>
          </w:p>
        </w:tc>
      </w:tr>
    </w:tbl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jc w:val="right"/>
        <w:outlineLvl w:val="1"/>
      </w:pPr>
      <w:r>
        <w:t>Приложение N 5</w:t>
      </w:r>
    </w:p>
    <w:p w:rsidR="003A56E6" w:rsidRDefault="003A56E6">
      <w:pPr>
        <w:pStyle w:val="ConsPlusNormal"/>
        <w:jc w:val="right"/>
      </w:pPr>
      <w:r>
        <w:t>к муниципальной программе "Развитие экономического</w:t>
      </w:r>
    </w:p>
    <w:p w:rsidR="003A56E6" w:rsidRDefault="003A56E6">
      <w:pPr>
        <w:pStyle w:val="ConsPlusNormal"/>
        <w:jc w:val="right"/>
      </w:pPr>
      <w:r>
        <w:t>потенциала и формирование благоприятного</w:t>
      </w:r>
    </w:p>
    <w:p w:rsidR="003A56E6" w:rsidRDefault="003A56E6">
      <w:pPr>
        <w:pStyle w:val="ConsPlusNormal"/>
        <w:jc w:val="right"/>
      </w:pPr>
      <w:r>
        <w:t>предпринимательского климата в Губкинском</w:t>
      </w:r>
    </w:p>
    <w:p w:rsidR="003A56E6" w:rsidRDefault="003A56E6">
      <w:pPr>
        <w:pStyle w:val="ConsPlusNormal"/>
        <w:jc w:val="right"/>
      </w:pPr>
      <w:r>
        <w:t>городском округе Белгородской области"</w:t>
      </w:r>
    </w:p>
    <w:p w:rsidR="003A56E6" w:rsidRDefault="003A56E6">
      <w:pPr>
        <w:pStyle w:val="ConsPlusNormal"/>
        <w:jc w:val="right"/>
      </w:pPr>
    </w:p>
    <w:p w:rsidR="003A56E6" w:rsidRDefault="003A56E6">
      <w:pPr>
        <w:pStyle w:val="ConsPlusTitle"/>
        <w:jc w:val="center"/>
      </w:pPr>
      <w:r>
        <w:t>Сведения</w:t>
      </w:r>
    </w:p>
    <w:p w:rsidR="003A56E6" w:rsidRDefault="003A56E6">
      <w:pPr>
        <w:pStyle w:val="ConsPlusTitle"/>
        <w:jc w:val="center"/>
      </w:pPr>
      <w:r>
        <w:t>о методике расчета показателей конечного результата</w:t>
      </w:r>
    </w:p>
    <w:p w:rsidR="003A56E6" w:rsidRDefault="003A56E6">
      <w:pPr>
        <w:pStyle w:val="ConsPlusTitle"/>
        <w:jc w:val="center"/>
      </w:pPr>
      <w:r>
        <w:t>муниципальной программы "Развитие экономического потенциала</w:t>
      </w:r>
    </w:p>
    <w:p w:rsidR="003A56E6" w:rsidRDefault="003A56E6">
      <w:pPr>
        <w:pStyle w:val="ConsPlusTitle"/>
        <w:jc w:val="center"/>
      </w:pPr>
      <w:r>
        <w:t>и формирование благоприятного предпринимательского климата</w:t>
      </w:r>
    </w:p>
    <w:p w:rsidR="003A56E6" w:rsidRDefault="003A56E6">
      <w:pPr>
        <w:pStyle w:val="ConsPlusTitle"/>
        <w:jc w:val="center"/>
      </w:pPr>
      <w:r>
        <w:t>в Губкинском городском округе Белгородской области"</w:t>
      </w:r>
    </w:p>
    <w:p w:rsidR="003A56E6" w:rsidRDefault="003A56E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1204"/>
        <w:gridCol w:w="6633"/>
        <w:gridCol w:w="1639"/>
        <w:gridCol w:w="1714"/>
      </w:tblGrid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3A56E6">
        <w:tc>
          <w:tcPr>
            <w:tcW w:w="13572" w:type="dxa"/>
            <w:gridSpan w:val="6"/>
            <w:vAlign w:val="bottom"/>
          </w:tcPr>
          <w:p w:rsidR="003A56E6" w:rsidRDefault="003A56E6">
            <w:pPr>
              <w:pStyle w:val="ConsPlusNormal"/>
              <w:jc w:val="center"/>
            </w:pPr>
            <w:r>
              <w:t>Муниципальная программа "Развитие экономического потенциала и формирование благоприятного предпринимательского климата в Губкинском городском округе Белгородской области"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Количество посадочных мест в предприятиях общественного питания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Кпм = Кпм1 + Кпм2 + Кпм3 + Кпмп</w:t>
            </w:r>
          </w:p>
          <w:p w:rsidR="003A56E6" w:rsidRDefault="003A56E6">
            <w:pPr>
              <w:pStyle w:val="ConsPlusNormal"/>
              <w:jc w:val="center"/>
            </w:pPr>
            <w:r>
              <w:t>Данные предыдущего года о количестве посадочных мест в предприятиях общественного питания корректируются на количество мест во вновь открытых и закрытых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Обеспеченность торговыми площадями на 1 тысячу жителей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Отп = Sтп / Чнас * 1000, где:</w:t>
            </w:r>
          </w:p>
          <w:p w:rsidR="003A56E6" w:rsidRDefault="003A56E6">
            <w:pPr>
              <w:pStyle w:val="ConsPlusNormal"/>
              <w:jc w:val="center"/>
            </w:pPr>
            <w:r>
              <w:t>Отп - обеспеченность торговыми площадями</w:t>
            </w:r>
          </w:p>
          <w:p w:rsidR="003A56E6" w:rsidRDefault="003A56E6">
            <w:pPr>
              <w:pStyle w:val="ConsPlusNormal"/>
              <w:jc w:val="center"/>
            </w:pPr>
            <w:r>
              <w:t>Sтп - площадь всех торговых площадей городского округа</w:t>
            </w:r>
          </w:p>
          <w:p w:rsidR="003A56E6" w:rsidRDefault="003A56E6">
            <w:pPr>
              <w:pStyle w:val="ConsPlusNormal"/>
              <w:jc w:val="center"/>
            </w:pPr>
            <w:r>
              <w:t>Чнас - численность населения городского округа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  <w:tr w:rsidR="003A56E6">
        <w:tc>
          <w:tcPr>
            <w:tcW w:w="454" w:type="dxa"/>
          </w:tcPr>
          <w:p w:rsidR="003A56E6" w:rsidRDefault="003A56E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928" w:type="dxa"/>
          </w:tcPr>
          <w:p w:rsidR="003A56E6" w:rsidRDefault="003A56E6">
            <w:pPr>
              <w:pStyle w:val="ConsPlusNormal"/>
              <w:jc w:val="center"/>
            </w:pPr>
            <w:r>
              <w:t>Доля занятых в малом и среднем бизнесе, включая ИП, в общей численности занятых</w:t>
            </w:r>
          </w:p>
        </w:tc>
        <w:tc>
          <w:tcPr>
            <w:tcW w:w="1204" w:type="dxa"/>
          </w:tcPr>
          <w:p w:rsidR="003A56E6" w:rsidRDefault="003A56E6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6633" w:type="dxa"/>
          </w:tcPr>
          <w:p w:rsidR="003A56E6" w:rsidRDefault="003A56E6">
            <w:pPr>
              <w:pStyle w:val="ConsPlusNormal"/>
              <w:jc w:val="center"/>
            </w:pPr>
            <w:r>
              <w:t>Дз = (Чмп + Чип + Чн) / (Чмп + Чип + Чн + Чср + Чкр) * 100, где:</w:t>
            </w:r>
          </w:p>
          <w:p w:rsidR="003A56E6" w:rsidRDefault="003A56E6">
            <w:pPr>
              <w:pStyle w:val="ConsPlusNormal"/>
              <w:jc w:val="center"/>
            </w:pPr>
            <w:r>
              <w:t>Дз - доля занятых в малом и среднем бизнесе</w:t>
            </w:r>
          </w:p>
          <w:p w:rsidR="003A56E6" w:rsidRDefault="003A56E6">
            <w:pPr>
              <w:pStyle w:val="ConsPlusNormal"/>
              <w:jc w:val="center"/>
            </w:pPr>
            <w:r>
              <w:t>Чмп - численность работающих в малых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Чип - численность работающих в ИП,</w:t>
            </w:r>
          </w:p>
          <w:p w:rsidR="003A56E6" w:rsidRDefault="003A56E6">
            <w:pPr>
              <w:pStyle w:val="ConsPlusNormal"/>
              <w:jc w:val="center"/>
            </w:pPr>
            <w:r>
              <w:t>Чн - численность работающих у ИП по найму,</w:t>
            </w:r>
          </w:p>
          <w:p w:rsidR="003A56E6" w:rsidRDefault="003A56E6">
            <w:pPr>
              <w:pStyle w:val="ConsPlusNormal"/>
              <w:jc w:val="center"/>
            </w:pPr>
            <w:r>
              <w:t>Чср - численность работающих в средних предприятиях,</w:t>
            </w:r>
          </w:p>
          <w:p w:rsidR="003A56E6" w:rsidRDefault="003A56E6">
            <w:pPr>
              <w:pStyle w:val="ConsPlusNormal"/>
              <w:jc w:val="center"/>
            </w:pPr>
            <w:r>
              <w:t>Чкр - численность работающих на крупных предприятиях</w:t>
            </w:r>
          </w:p>
        </w:tc>
        <w:tc>
          <w:tcPr>
            <w:tcW w:w="1639" w:type="dxa"/>
          </w:tcPr>
          <w:p w:rsidR="003A56E6" w:rsidRDefault="003A56E6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714" w:type="dxa"/>
          </w:tcPr>
          <w:p w:rsidR="003A56E6" w:rsidRDefault="003A56E6">
            <w:pPr>
              <w:pStyle w:val="ConsPlusNormal"/>
              <w:jc w:val="center"/>
            </w:pPr>
            <w:r>
              <w:t>10 числа месяца, следующего за отчетным кварталом</w:t>
            </w:r>
          </w:p>
        </w:tc>
      </w:tr>
    </w:tbl>
    <w:p w:rsidR="003A56E6" w:rsidRDefault="003A56E6">
      <w:pPr>
        <w:pStyle w:val="ConsPlusNormal"/>
        <w:jc w:val="center"/>
      </w:pPr>
    </w:p>
    <w:p w:rsidR="003A56E6" w:rsidRDefault="003A56E6">
      <w:pPr>
        <w:pStyle w:val="ConsPlusNormal"/>
        <w:jc w:val="both"/>
      </w:pPr>
    </w:p>
    <w:p w:rsidR="003A56E6" w:rsidRDefault="003A56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1D25" w:rsidRDefault="00D81D25">
      <w:bookmarkStart w:id="13" w:name="_GoBack"/>
      <w:bookmarkEnd w:id="13"/>
    </w:p>
    <w:sectPr w:rsidR="00D81D25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E6"/>
    <w:rsid w:val="003A56E6"/>
    <w:rsid w:val="00D8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9C3F-4A1C-455F-A00B-A9FFD337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A56E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A56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A56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691586363B407F601434A5150065D019A3AAD87A7FD1C2E20DFD6A9058F4037E70D7A66ACDAB85061F70B75776A5ECD9ADCEFC0B33EA03D7514DW4k2N" TargetMode="External"/><Relationship Id="rId13" Type="http://schemas.openxmlformats.org/officeDocument/2006/relationships/hyperlink" Target="consultantplus://offline/ref=10691586363B407F601434A5150065D019A3AAD87978D3CBE10DFD6A9058F4037E70D7A66ACDAB85061F70B75776A5ECD9ADCEFC0B33EA03D7514DW4k2N" TargetMode="External"/><Relationship Id="rId18" Type="http://schemas.openxmlformats.org/officeDocument/2006/relationships/hyperlink" Target="consultantplus://offline/ref=10691586363B407F601434A5150065D019A3AAD8777FDFC3E40DFD6A9058F4037E70D7A66ACDAB85061F70B75776A5ECD9ADCEFC0B33EA03D7514DW4k2N" TargetMode="External"/><Relationship Id="rId26" Type="http://schemas.openxmlformats.org/officeDocument/2006/relationships/hyperlink" Target="consultantplus://offline/ref=10691586363B407F601434A5150065D019A3AAD87978D3CBE10DFD6A9058F4037E70D7A66ACDAB85061F70B55776A5ECD9ADCEFC0B33EA03D7514DW4k2N" TargetMode="External"/><Relationship Id="rId39" Type="http://schemas.openxmlformats.org/officeDocument/2006/relationships/hyperlink" Target="consultantplus://offline/ref=10691586363B407F60142AA8036C3FDD19AAF0D27C7BDD9CBE52A637C751FE54393F8EE42EC4AD8C041424E31877F9A88EBECEF70B31E31FWDk7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0691586363B407F60142AA8036C3FDD19AAF6D47E7DDD9CBE52A637C751FE542B3FD6E82EC2B4850F0172B25EW2k0N" TargetMode="External"/><Relationship Id="rId34" Type="http://schemas.openxmlformats.org/officeDocument/2006/relationships/hyperlink" Target="consultantplus://offline/ref=10691586363B407F601434A5150065D019A3AAD87C78D5CBE70DFD6A9058F4037E70D7B46A95A785040170BB4220F4AAW8kEN" TargetMode="External"/><Relationship Id="rId42" Type="http://schemas.openxmlformats.org/officeDocument/2006/relationships/hyperlink" Target="consultantplus://offline/ref=10691586363B407F60142AA8036C3FDD19AAF4D17779DD9CBE52A637C751FE54393F8EE42EC0AB80061424E31877F9A88EBECEF70B31E31FWDk7N" TargetMode="External"/><Relationship Id="rId7" Type="http://schemas.openxmlformats.org/officeDocument/2006/relationships/hyperlink" Target="consultantplus://offline/ref=10691586363B407F601434A5150065D019A3AAD87B7CDFC8E60DFD6A9058F4037E70D7A66ACDAB85061F70B75776A5ECD9ADCEFC0B33EA03D7514DW4k2N" TargetMode="External"/><Relationship Id="rId12" Type="http://schemas.openxmlformats.org/officeDocument/2006/relationships/hyperlink" Target="consultantplus://offline/ref=10691586363B407F601434A5150065D019A3AAD8797BD5C2E70DFD6A9058F4037E70D7A66ACDAB85061F70B75776A5ECD9ADCEFC0B33EA03D7514DW4k2N" TargetMode="External"/><Relationship Id="rId17" Type="http://schemas.openxmlformats.org/officeDocument/2006/relationships/hyperlink" Target="consultantplus://offline/ref=10691586363B407F601434A5150065D019A3AAD87876DFCDE50DFD6A9058F4037E70D7A66ACDAB85061F70B75776A5ECD9ADCEFC0B33EA03D7514DW4k2N" TargetMode="External"/><Relationship Id="rId25" Type="http://schemas.openxmlformats.org/officeDocument/2006/relationships/hyperlink" Target="consultantplus://offline/ref=10691586363B407F601434A5150065D019A3AAD87876DFCDE50DFD6A9058F4037E70D7A66ACDAB85061F70B55776A5ECD9ADCEFC0B33EA03D7514DW4k2N" TargetMode="External"/><Relationship Id="rId33" Type="http://schemas.openxmlformats.org/officeDocument/2006/relationships/hyperlink" Target="consultantplus://offline/ref=10691586363B407F601434A5150065D019A3AAD87C78D5CBE70DFD6A9058F4037E70D7B46A95A785040170BB4220F4AAW8kEN" TargetMode="External"/><Relationship Id="rId38" Type="http://schemas.openxmlformats.org/officeDocument/2006/relationships/hyperlink" Target="consultantplus://offline/ref=10691586363B407F60142AA8036C3FDD19AAF0D27C7BDD9CBE52A637C751FE54393F8EE42EC4A985021424E31877F9A88EBECEF70B31E31FWDk7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0691586363B407F601434A5150065D019A3AAD87878D0CCE10DFD6A9058F4037E70D7A66ACDAB85061F70B75776A5ECD9ADCEFC0B33EA03D7514DW4k2N" TargetMode="External"/><Relationship Id="rId20" Type="http://schemas.openxmlformats.org/officeDocument/2006/relationships/hyperlink" Target="consultantplus://offline/ref=10691586363B407F601434A5150065D019A3AAD8777BD1CEE40DFD6A9058F4037E70D7A66ACDAB85061F70B75776A5ECD9ADCEFC0B33EA03D7514DW4k2N" TargetMode="External"/><Relationship Id="rId29" Type="http://schemas.openxmlformats.org/officeDocument/2006/relationships/hyperlink" Target="consultantplus://offline/ref=10691586363B407F601434A5150065D019A3AAD87C7DD1CDE00DFD6A9058F4037E70D7B46A95A785040170BB4220F4AAW8kEN" TargetMode="External"/><Relationship Id="rId41" Type="http://schemas.openxmlformats.org/officeDocument/2006/relationships/hyperlink" Target="consultantplus://offline/ref=10691586363B407F60142AA8036C3FDD19AAF4D17779DD9CBE52A637C751FE542B3FD6E82EC2B4850F0172B25EW2k0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0691586363B407F601434A5150065D019A3AAD87B7FD3CAEB0DFD6A9058F4037E70D7A66ACDAB85061F70B75776A5ECD9ADCEFC0B33EA03D7514DW4k2N" TargetMode="External"/><Relationship Id="rId11" Type="http://schemas.openxmlformats.org/officeDocument/2006/relationships/hyperlink" Target="consultantplus://offline/ref=10691586363B407F601434A5150065D019A3AAD8797DD3C2E50DFD6A9058F4037E70D7A66ACDAB85061F70B75776A5ECD9ADCEFC0B33EA03D7514DW4k2N" TargetMode="External"/><Relationship Id="rId24" Type="http://schemas.openxmlformats.org/officeDocument/2006/relationships/hyperlink" Target="consultantplus://offline/ref=10691586363B407F601434A5150065D019A3AAD87876D0CEE00DFD6A9058F4037E70D7B46A95A785040170BB4220F4AAW8kEN" TargetMode="External"/><Relationship Id="rId32" Type="http://schemas.openxmlformats.org/officeDocument/2006/relationships/hyperlink" Target="consultantplus://offline/ref=10691586363B407F601434A5150065D019A3AAD8777BD1CEE40DFD6A9058F4037E70D7A66ACDAB85061F70B45776A5ECD9ADCEFC0B33EA03D7514DW4k2N" TargetMode="External"/><Relationship Id="rId37" Type="http://schemas.openxmlformats.org/officeDocument/2006/relationships/hyperlink" Target="consultantplus://offline/ref=10691586363B407F60142AA8036C3FDD19AAF0D27C7BDD9CBE52A637C751FE54393F8EE42EC6AA870E1424E31877F9A88EBECEF70B31E31FWDk7N" TargetMode="External"/><Relationship Id="rId40" Type="http://schemas.openxmlformats.org/officeDocument/2006/relationships/hyperlink" Target="consultantplus://offline/ref=10691586363B407F60142AA8036C3FDD19AAF0D27C7BDD9CBE52A637C751FE54393F8EE42EC5AF86041424E31877F9A88EBECEF70B31E31FWDk7N" TargetMode="External"/><Relationship Id="rId5" Type="http://schemas.openxmlformats.org/officeDocument/2006/relationships/hyperlink" Target="consultantplus://offline/ref=10691586363B407F601434A5150065D019A3AAD87C76D4C3E70DFD6A9058F4037E70D7A66ACDAB85061F70B75776A5ECD9ADCEFC0B33EA03D7514DW4k2N" TargetMode="External"/><Relationship Id="rId15" Type="http://schemas.openxmlformats.org/officeDocument/2006/relationships/hyperlink" Target="consultantplus://offline/ref=10691586363B407F601434A5150065D019A3AAD8787CD7C9E40DFD6A9058F4037E70D7A66ACDAB85061F70B75776A5ECD9ADCEFC0B33EA03D7514DW4k2N" TargetMode="External"/><Relationship Id="rId23" Type="http://schemas.openxmlformats.org/officeDocument/2006/relationships/hyperlink" Target="consultantplus://offline/ref=10691586363B407F601434A5150065D019A3AAD8777DD3CBEB0DFD6A9058F4037E70D7B46A95A785040170BB4220F4AAW8kEN" TargetMode="External"/><Relationship Id="rId28" Type="http://schemas.openxmlformats.org/officeDocument/2006/relationships/hyperlink" Target="consultantplus://offline/ref=10691586363B407F601434A5150065D019A3AAD87876DFCDE50DFD6A9058F4037E70D7A66ACDAB85061F70BB5776A5ECD9ADCEFC0B33EA03D7514DW4k2N" TargetMode="External"/><Relationship Id="rId36" Type="http://schemas.openxmlformats.org/officeDocument/2006/relationships/hyperlink" Target="consultantplus://offline/ref=10691586363B407F60142AA8036C3FDD19AAF0D27C7BDD9CBE52A637C751FE54393F8EE42EC0AD84071424E31877F9A88EBECEF70B31E31FWDk7N" TargetMode="External"/><Relationship Id="rId10" Type="http://schemas.openxmlformats.org/officeDocument/2006/relationships/hyperlink" Target="consultantplus://offline/ref=10691586363B407F601434A5150065D019A3AAD8797EDEC8E60DFD6A9058F4037E70D7A66ACDAB85061F70B75776A5ECD9ADCEFC0B33EA03D7514DW4k2N" TargetMode="External"/><Relationship Id="rId19" Type="http://schemas.openxmlformats.org/officeDocument/2006/relationships/hyperlink" Target="consultantplus://offline/ref=10691586363B407F601434A5150065D019A3AAD8777DD3CFE40DFD6A9058F4037E70D7A66ACDAB85061F70B75776A5ECD9ADCEFC0B33EA03D7514DW4k2N" TargetMode="External"/><Relationship Id="rId31" Type="http://schemas.openxmlformats.org/officeDocument/2006/relationships/hyperlink" Target="consultantplus://offline/ref=10691586363B407F601434A5150065D019A3AAD87876DFCDE50DFD6A9058F4037E70D7A66ACDAB85061F71B25776A5ECD9ADCEFC0B33EA03D7514DW4k2N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0691586363B407F601434A5150065D019A3AAD87A7AD5CCEA0DFD6A9058F4037E70D7A66ACDAB85061F70B75776A5ECD9ADCEFC0B33EA03D7514DW4k2N" TargetMode="External"/><Relationship Id="rId14" Type="http://schemas.openxmlformats.org/officeDocument/2006/relationships/hyperlink" Target="consultantplus://offline/ref=10691586363B407F601434A5150065D019A3AAD8787FD1CDEB0DFD6A9058F4037E70D7A66ACDAB85061F70B75776A5ECD9ADCEFC0B33EA03D7514DW4k2N" TargetMode="External"/><Relationship Id="rId22" Type="http://schemas.openxmlformats.org/officeDocument/2006/relationships/hyperlink" Target="consultantplus://offline/ref=10691586363B407F60142AA8036C3FDD19A8F1DD7C7DDD9CBE52A637C751FE542B3FD6E82EC2B4850F0172B25EW2k0N" TargetMode="External"/><Relationship Id="rId27" Type="http://schemas.openxmlformats.org/officeDocument/2006/relationships/hyperlink" Target="consultantplus://offline/ref=10691586363B407F601434A5150065D019A3AAD87876DFCDE50DFD6A9058F4037E70D7A66ACDAB85061F70BA5776A5ECD9ADCEFC0B33EA03D7514DW4k2N" TargetMode="External"/><Relationship Id="rId30" Type="http://schemas.openxmlformats.org/officeDocument/2006/relationships/hyperlink" Target="consultantplus://offline/ref=10691586363B407F601434A5150065D019A3AAD87C78D5CBE70DFD6A9058F4037E70D7B46A95A785040170BB4220F4AAW8kEN" TargetMode="External"/><Relationship Id="rId35" Type="http://schemas.openxmlformats.org/officeDocument/2006/relationships/hyperlink" Target="consultantplus://offline/ref=10691586363B407F60142AA8036C3FDD19AAF0D27C7BDD9CBE52A637C751FE54393F8EE42EC0AB86051424E31877F9A88EBECEF70B31E31FWDk7N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24039</Words>
  <Characters>137023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Оверчук</dc:creator>
  <cp:keywords/>
  <dc:description/>
  <cp:lastModifiedBy>Юлия Оверчук</cp:lastModifiedBy>
  <cp:revision>2</cp:revision>
  <dcterms:created xsi:type="dcterms:W3CDTF">2022-09-02T13:36:00Z</dcterms:created>
  <dcterms:modified xsi:type="dcterms:W3CDTF">2022-09-02T13:36:00Z</dcterms:modified>
</cp:coreProperties>
</file>