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A8" w:rsidRPr="00F812FA" w:rsidRDefault="008C7398" w:rsidP="002E671D">
      <w:pPr>
        <w:pStyle w:val="ConsPlusTitle0"/>
        <w:jc w:val="center"/>
        <w:outlineLvl w:val="0"/>
      </w:pPr>
      <w:r w:rsidRPr="00F812FA">
        <w:t>АДМИНИСТРАЦИЯ ГУБКИНСКОГО ГОРОДСКОГО ОКРУГА</w:t>
      </w:r>
    </w:p>
    <w:p w:rsidR="00A830A8" w:rsidRPr="00F812FA" w:rsidRDefault="008C7398">
      <w:pPr>
        <w:pStyle w:val="ConsPlusTitle0"/>
        <w:jc w:val="center"/>
      </w:pPr>
      <w:r w:rsidRPr="00F812FA">
        <w:t>БЕЛГОРОДСКОЙ ОБЛАСТИ</w:t>
      </w:r>
    </w:p>
    <w:p w:rsidR="00A830A8" w:rsidRPr="00F812FA" w:rsidRDefault="00A830A8">
      <w:pPr>
        <w:pStyle w:val="ConsPlusTitle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ПОСТАНОВЛЕНИЕ</w:t>
      </w:r>
    </w:p>
    <w:p w:rsidR="00A830A8" w:rsidRPr="00F812FA" w:rsidRDefault="008C7398">
      <w:pPr>
        <w:pStyle w:val="ConsPlusTitle0"/>
        <w:jc w:val="center"/>
      </w:pPr>
      <w:r w:rsidRPr="00F812FA">
        <w:t>от 8 сентября 2022 г. N 2046-па</w:t>
      </w:r>
    </w:p>
    <w:p w:rsidR="00A830A8" w:rsidRPr="00F812FA" w:rsidRDefault="00A830A8">
      <w:pPr>
        <w:pStyle w:val="ConsPlusTitle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О ВНЕСЕНИИ ИЗМЕНЕНИЯ В ПОСТАНОВЛЕНИЕ АДМИНИСТРАЦИИ</w:t>
      </w:r>
    </w:p>
    <w:p w:rsidR="00A830A8" w:rsidRPr="00F812FA" w:rsidRDefault="008C7398">
      <w:pPr>
        <w:pStyle w:val="ConsPlusTitle0"/>
        <w:jc w:val="center"/>
      </w:pPr>
      <w:r w:rsidRPr="00F812FA">
        <w:t xml:space="preserve">ГУБКИНСКОГО ГОРОДСКОГО ОКРУГА </w:t>
      </w:r>
      <w:proofErr w:type="gramStart"/>
      <w:r w:rsidRPr="00F812FA">
        <w:t>ОТ</w:t>
      </w:r>
      <w:proofErr w:type="gramEnd"/>
    </w:p>
    <w:p w:rsidR="00A830A8" w:rsidRPr="00F812FA" w:rsidRDefault="008C7398">
      <w:pPr>
        <w:pStyle w:val="ConsPlusTitle0"/>
        <w:jc w:val="center"/>
      </w:pPr>
      <w:r w:rsidRPr="00F812FA">
        <w:t>14 ОКТЯБРЯ 2013 ГОДА N 2477-ПА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proofErr w:type="gramStart"/>
      <w:r w:rsidRPr="00F812FA">
        <w:t xml:space="preserve">В соответствии с Бюджетным </w:t>
      </w:r>
      <w:hyperlink r:id="rId7" w:tooltip="&quot;Бюджетный кодекс Российской Федерации&quot; от 31.07.1998 N 145-ФЗ (ред. от 14.07.2022) ------------ Недействующая редакция {КонсультантПлюс}">
        <w:r w:rsidRPr="00F812FA">
          <w:t>кодексом</w:t>
        </w:r>
      </w:hyperlink>
      <w:r w:rsidRPr="00F812FA">
        <w:t xml:space="preserve"> Российской Федерации, Федеральным </w:t>
      </w:r>
      <w:hyperlink r:id="rId8" w:tooltip="Федеральный закон от 06.10.2003 N 131-ФЗ (ред. от 14.07.2022) &quot;Об общих принципах организации местного самоуправления в Российской Федерации&quot; {КонсультантПлюс}">
        <w:r w:rsidRPr="00F812FA">
          <w:t>законом</w:t>
        </w:r>
      </w:hyperlink>
      <w:r w:rsidRPr="00F812FA"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9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1.06.2022) (Зарегистрировано в ГУ Минюста России по Центральному федерал">
        <w:r w:rsidRPr="00F812FA">
          <w:t>Уставом</w:t>
        </w:r>
      </w:hyperlink>
      <w:r w:rsidRPr="00F812FA">
        <w:t xml:space="preserve">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постановлениями администрации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от 6 июня 2013 года</w:t>
      </w:r>
      <w:proofErr w:type="gramEnd"/>
      <w:r w:rsidRPr="00F812FA">
        <w:t xml:space="preserve"> </w:t>
      </w:r>
      <w:hyperlink r:id="rId10" w:tooltip="Постановление администрации Губкинского городского округа Белгородской обл. от 06.06.2013 N 1335-па (ред. от 12.10.2020) &quot;Об утверждении Порядка принятия решений о разработке муниципальных программ Губкинского городского округа Белгородской области, их формиро">
        <w:r w:rsidRPr="00F812FA">
          <w:t>N 1335-па</w:t>
        </w:r>
      </w:hyperlink>
      <w:r w:rsidRPr="00F812FA">
        <w:t xml:space="preserve"> "Об утверждении Порядка принятия решений о разработке муниципальных программ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 администрация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постановляет: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1. </w:t>
      </w:r>
      <w:proofErr w:type="gramStart"/>
      <w:r w:rsidRPr="00F812FA">
        <w:t xml:space="preserve">Внести изменение в </w:t>
      </w:r>
      <w:hyperlink r:id="rId11" w:tooltip="Постановление администрации Губкинского городского округа Белгородской обл. от 14.10.2013 N 2477-па (ред. от 16.06.2022) &quot;Об утверждении муниципальной программы &quot;Развитие автомобильных дорог общего пользования местного значения Губкинского городского округа Бе">
        <w:r w:rsidRPr="00F812FA">
          <w:t>постановление</w:t>
        </w:r>
      </w:hyperlink>
      <w:r w:rsidRPr="00F812FA">
        <w:t xml:space="preserve"> администрации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от 14 октября 2013 года N 2477-па "Об утверждении муниципальной программы "Развитие автомобильных дорог общего 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 (в редакции постановлений администрации от 30.04.2014 N 910-па, от 22.08.2014 N 1906-па, от 13.10.2014 N 2287-па, от 27.03.2015 N 647-па, от 29.03.2016 N 564-па, от 30.12.2016 N 2904-па, от</w:t>
      </w:r>
      <w:proofErr w:type="gramEnd"/>
      <w:r w:rsidRPr="00F812FA">
        <w:t xml:space="preserve"> </w:t>
      </w:r>
      <w:proofErr w:type="gramStart"/>
      <w:r w:rsidRPr="00F812FA">
        <w:t>29.03.2018 N 429-па, от 27.12.2018 N 2180-па, от 06.09.2019 N 1567-па, от 25.12.2019 N 2254-па, от 22.09.2020 N 1334-па, от 26.12.2020 N 1956-па, от 08.07.2021 N 1059-па, от 27.12.2021 N 2234-па, от 16.06.2022 N 739-па):</w:t>
      </w:r>
      <w:proofErr w:type="gramEnd"/>
    </w:p>
    <w:p w:rsidR="00A830A8" w:rsidRPr="00F812FA" w:rsidRDefault="008C7398">
      <w:pPr>
        <w:pStyle w:val="ConsPlusNormal0"/>
        <w:spacing w:before="200"/>
        <w:ind w:firstLine="540"/>
        <w:jc w:val="both"/>
      </w:pPr>
      <w:r w:rsidRPr="00F812FA">
        <w:t xml:space="preserve">- изложить муниципальную </w:t>
      </w:r>
      <w:hyperlink r:id="rId12" w:tooltip="Постановление администрации Губкинского городского округа Белгородской обл. от 14.10.2013 N 2477-па (ред. от 16.06.2022) &quot;Об утверждении муниципальной программы &quot;Развитие автомобильных дорог общего пользования местного значения Губкинского городского округа Бе">
        <w:r w:rsidRPr="00F812FA">
          <w:t>программу</w:t>
        </w:r>
      </w:hyperlink>
      <w:r w:rsidRPr="00F812FA">
        <w:t xml:space="preserve">, утвержденную вышеуказанным постановлением, в редакции согласно </w:t>
      </w:r>
      <w:hyperlink w:anchor="P34" w:tooltip="МУНИЦИПАЛЬНАЯ ПРОГРАММА">
        <w:r w:rsidRPr="00F812FA">
          <w:t>приложению</w:t>
        </w:r>
      </w:hyperlink>
      <w:r w:rsidRPr="00F812FA">
        <w:t xml:space="preserve"> к настоящему постановлению.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2. Опубликовать постановление в средствах массовой информации.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3. </w:t>
      </w:r>
      <w:proofErr w:type="gramStart"/>
      <w:r w:rsidRPr="00F812FA">
        <w:t>Контроль за</w:t>
      </w:r>
      <w:proofErr w:type="gramEnd"/>
      <w:r w:rsidRPr="00F812FA">
        <w:t xml:space="preserve"> исполнением постановления возложить на заместителя главы администрации по строительству Титова К.А.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jc w:val="right"/>
      </w:pPr>
      <w:r w:rsidRPr="00F812FA">
        <w:t>Глава администрации</w:t>
      </w:r>
    </w:p>
    <w:p w:rsidR="00A830A8" w:rsidRPr="00F812FA" w:rsidRDefault="008C7398">
      <w:pPr>
        <w:pStyle w:val="ConsPlusNormal0"/>
        <w:jc w:val="right"/>
      </w:pP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8C7398">
      <w:pPr>
        <w:pStyle w:val="ConsPlusNormal0"/>
        <w:jc w:val="right"/>
      </w:pPr>
      <w:r w:rsidRPr="00F812FA">
        <w:t>М.А.ЛОБАЗНОВ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8C7398" w:rsidRPr="00F812FA" w:rsidRDefault="008C7398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A830A8" w:rsidRPr="00F812FA" w:rsidRDefault="008C7398">
      <w:pPr>
        <w:pStyle w:val="ConsPlusNormal0"/>
        <w:jc w:val="right"/>
        <w:outlineLvl w:val="0"/>
      </w:pPr>
      <w:r w:rsidRPr="00F812FA">
        <w:lastRenderedPageBreak/>
        <w:t>Приложение</w:t>
      </w:r>
    </w:p>
    <w:p w:rsidR="00A830A8" w:rsidRPr="00F812FA" w:rsidRDefault="008C7398">
      <w:pPr>
        <w:pStyle w:val="ConsPlusNormal0"/>
        <w:jc w:val="right"/>
      </w:pPr>
      <w:r w:rsidRPr="00F812FA">
        <w:t>к постановлению</w:t>
      </w:r>
    </w:p>
    <w:p w:rsidR="00A830A8" w:rsidRPr="00F812FA" w:rsidRDefault="008C7398">
      <w:pPr>
        <w:pStyle w:val="ConsPlusNormal0"/>
        <w:jc w:val="right"/>
      </w:pPr>
      <w:r w:rsidRPr="00F812FA">
        <w:t xml:space="preserve">администрации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Normal0"/>
        <w:jc w:val="right"/>
      </w:pPr>
      <w:r w:rsidRPr="00F812FA">
        <w:t>городского округа</w:t>
      </w:r>
    </w:p>
    <w:p w:rsidR="00A830A8" w:rsidRPr="00F812FA" w:rsidRDefault="008C7398">
      <w:pPr>
        <w:pStyle w:val="ConsPlusNormal0"/>
        <w:jc w:val="right"/>
      </w:pPr>
      <w:r w:rsidRPr="00F812FA">
        <w:t>от 8 сентября 2022 г. N 2046-па</w:t>
      </w:r>
      <w:r w:rsidR="00FF079B" w:rsidRPr="00F812FA">
        <w:t xml:space="preserve"> </w:t>
      </w:r>
    </w:p>
    <w:p w:rsidR="00FF079B" w:rsidRPr="00F812FA" w:rsidRDefault="00FF079B">
      <w:pPr>
        <w:pStyle w:val="ConsPlusNormal0"/>
        <w:jc w:val="right"/>
      </w:pPr>
    </w:p>
    <w:p w:rsidR="00FF079B" w:rsidRPr="00F812FA" w:rsidRDefault="00FF079B">
      <w:pPr>
        <w:pStyle w:val="ConsPlusNormal0"/>
        <w:jc w:val="right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bookmarkStart w:id="0" w:name="P34"/>
      <w:bookmarkEnd w:id="0"/>
      <w:r w:rsidRPr="00F812FA">
        <w:t>МУНИЦИПАЛЬНАЯ ПРОГРАММА</w:t>
      </w:r>
    </w:p>
    <w:p w:rsidR="00A830A8" w:rsidRPr="00F812FA" w:rsidRDefault="008C7398">
      <w:pPr>
        <w:pStyle w:val="ConsPlusTitle0"/>
        <w:jc w:val="center"/>
      </w:pPr>
      <w:r w:rsidRPr="00F812FA">
        <w:t>"РАЗВИТИЕ АВТОМОБИЛЬНЫХ ДОРОГ ОБЩЕГО ПОЛЬЗОВАНИЯ МЕСТНОГО</w:t>
      </w:r>
    </w:p>
    <w:p w:rsidR="00A830A8" w:rsidRPr="00F812FA" w:rsidRDefault="008C7398">
      <w:pPr>
        <w:pStyle w:val="ConsPlusTitle0"/>
        <w:jc w:val="center"/>
      </w:pPr>
      <w:r w:rsidRPr="00F812FA">
        <w:t>ЗНАЧЕНИЯ ГУБКИНСКОГО 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 xml:space="preserve">Паспорт муниципальной программы "Развитие </w:t>
      </w:r>
      <w:proofErr w:type="gramStart"/>
      <w:r w:rsidRPr="00F812FA">
        <w:t>автомобильных</w:t>
      </w:r>
      <w:proofErr w:type="gramEnd"/>
    </w:p>
    <w:p w:rsidR="00A830A8" w:rsidRPr="00F812FA" w:rsidRDefault="008C7398">
      <w:pPr>
        <w:pStyle w:val="ConsPlusTitle0"/>
        <w:jc w:val="center"/>
      </w:pPr>
      <w:r w:rsidRPr="00F812FA">
        <w:t xml:space="preserve">дорог общего пользования местного значения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муниципальной программы: "Развитие автомобильных 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муниципальная программа)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Ответственный исполнитель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управления координации строительства)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Соисполнители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Управление жилищно-коммунального комплекса и систем жизнеобеспечения;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Подпрограммы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1. </w:t>
            </w:r>
            <w:hyperlink w:anchor="P261" w:tooltip="Подпрограмма &quot;Строительство (реконструкция) дорог">
              <w:r w:rsidRPr="00F812FA">
                <w:t>Подпрограмма</w:t>
              </w:r>
            </w:hyperlink>
            <w:r w:rsidRPr="00F812FA">
              <w:t xml:space="preserve"> "Строительство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2. </w:t>
            </w:r>
            <w:hyperlink w:anchor="P393" w:tooltip="Подпрограмма &quot;Капитальный ремонт автомобильных дорог">
              <w:r w:rsidRPr="00F812FA">
                <w:t>Подпрограмма</w:t>
              </w:r>
            </w:hyperlink>
            <w:r w:rsidRPr="00F812FA">
              <w:t xml:space="preserve"> 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3. </w:t>
            </w:r>
            <w:hyperlink w:anchor="P511" w:tooltip="Подпрограмма &quot;Содержание улично-дорожной сети Губкинского">
              <w:r w:rsidRPr="00F812FA">
                <w:t>Подпрограмма</w:t>
              </w:r>
            </w:hyperlink>
            <w:r w:rsidRPr="00F812FA">
              <w:t xml:space="preserve"> 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4. </w:t>
            </w:r>
            <w:hyperlink w:anchor="P656" w:tooltip="Подпрограмма &quot;Благоустройство дворовых территорий">
              <w:r w:rsidRPr="00F812FA">
                <w:t>Подпрограмма</w:t>
              </w:r>
            </w:hyperlink>
            <w:r w:rsidRPr="00F812FA">
              <w:t xml:space="preserve"> 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Создание условий для устойчивого функционирования 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в соответствии с социально-экономическими потребностями населения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Задачи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1. Развитие сети автомобильных дорог в соответствии с темпами экономического развития городского округа.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2. 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3. Улучшение транспортно-эксплуатационного состояния существующей сети автомобильных дорог и сооружений.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4. Улучшение эстетического облика, внешнего благоустройства, санитарного состояния дворовых территорий многоквартирных домов</w:t>
            </w:r>
          </w:p>
          <w:p w:rsidR="00FF079B" w:rsidRPr="00F812FA" w:rsidRDefault="00FF079B">
            <w:pPr>
              <w:pStyle w:val="ConsPlusNormal0"/>
              <w:jc w:val="both"/>
            </w:pP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муниципальной программы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муниципальной программы за счет всех источников финансирования составит 3203216,25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- 89712,90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- 99739,40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- 166659,60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2017 год - 103154,00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- 135545,40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- 225516,60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- 299313,00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- 479680,55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- 468176,80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- 517942,00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- 356037,00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- 261739,00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Объем финансирования муниципальной программы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составит 1684909,75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- 89712,90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- 82139,00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- 103159,60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2017 год - 103154,00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- 119823,40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- 104918,70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- 122566,00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- 257993,55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- 213626,60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- 183618,00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- 146059,00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- 158139,00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Объем финансирования муниципальной программы за счет средств областного бюджета составит 928526,10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- 15722,00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- 64437,90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- 108377,00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- 221687,00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- 229850,20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- 145524,00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- 142928,00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программы за счет средств федерального бюджета составит 124530,0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- 56160,0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- 68370,0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Объем финансирования муниципальной программы за счет средств иных источников финансирования составит 465250,40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- 17600,4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- 63500,0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- 24700,0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- 188800,0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- 67050,0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- 103600,0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Объемы финансирования мероприятий муниципальной программы ежегодно подлежат уточнению при формировании бюджета на очередной </w:t>
            </w:r>
            <w:r w:rsidRPr="00F812FA">
              <w:lastRenderedPageBreak/>
              <w:t>финансовый год и плановый период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9.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1. Доля населенных пунктов, обеспеченных подъездными дорогами с твердым покрытием, 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3. Доля площади убираемой территории в общей площади, подлежащей уборке, 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4. Доля механизированной уборки в общем объеме работ по содержанию улично-дорожной сети, 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5. Доля благоустроенных дворовых территорий в общем количестве дворовых территорий многоквартирных домов, %</w:t>
            </w:r>
          </w:p>
        </w:tc>
      </w:tr>
      <w:tr w:rsidR="002E671D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реализации муниципальной программы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К 2025 году планируется: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1. Увеличение доли населенных пунктов, обеспеченных подъездными дорогами с твердым покрытием, до 100%.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2. 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до 90,44%.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3. Увеличение доли площади убираемой территории в общей площади, подлежащей уборке, до 90%.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4. Увеличение доли механизированной уборки в общем объеме работ по содержанию улично-дорожной сети до 74%.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5. Увеличение доли благоустроенных дворовых территорий в общем количестве дворовых территорий многоквартирных домов до 100%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1. Общая характеристика сферы реализации муниципальной</w:t>
      </w:r>
    </w:p>
    <w:p w:rsidR="00A830A8" w:rsidRPr="00F812FA" w:rsidRDefault="008C7398">
      <w:pPr>
        <w:pStyle w:val="ConsPlusTitle0"/>
        <w:jc w:val="center"/>
      </w:pPr>
      <w:r w:rsidRPr="00F812FA">
        <w:t>программы, в том числе формулировки основных проблем</w:t>
      </w:r>
    </w:p>
    <w:p w:rsidR="00A830A8" w:rsidRPr="00F812FA" w:rsidRDefault="008C7398">
      <w:pPr>
        <w:pStyle w:val="ConsPlusTitle0"/>
        <w:jc w:val="center"/>
      </w:pPr>
      <w:r w:rsidRPr="00F812FA">
        <w:t>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F812FA" w:rsidRDefault="008C7398" w:rsidP="00F812FA">
      <w:pPr>
        <w:pStyle w:val="ConsPlusNormal0"/>
        <w:ind w:firstLine="540"/>
        <w:jc w:val="both"/>
      </w:pPr>
      <w:proofErr w:type="spellStart"/>
      <w:r w:rsidRPr="00F812FA">
        <w:t>Губкинский</w:t>
      </w:r>
      <w:proofErr w:type="spellEnd"/>
      <w:r w:rsidRPr="00F812FA">
        <w:t xml:space="preserve"> городской округ Белгородской области является динамично развивающимся округом. Он становится все более привлекательным для инвесторов, для реализации 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Однако существуют факторы, сдерживающие превращение городского округа в многофункциональный, комфортный, эстетически привлекательный округ. Одним из них является отсутствие подъездных дорог до сельских населенных пунктов и благоустройства некоторых дворовых территорий.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Из-за отсутствия дорог с твердым покрытием к 10 сельским населенным пунктам городского округа, в которых проживает более 120 человек, жители не имеют круглогодичной связи с городом.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Изношенность и недостаточная прочность дорожного покрытия 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автотранспорта, также является одной из важнейших задач благоустройства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Мониторинг состояния внутриквартальных территорий показал, что вследствие целого ряда причин, таких как естественное старение твердых 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</w:t>
      </w:r>
      <w:proofErr w:type="gramStart"/>
      <w:r w:rsidRPr="00F812FA">
        <w:t>современным</w:t>
      </w:r>
      <w:proofErr w:type="gramEnd"/>
      <w:r w:rsidRPr="00F812FA">
        <w:t xml:space="preserve"> </w:t>
      </w:r>
      <w:r w:rsidRPr="00F812FA">
        <w:lastRenderedPageBreak/>
        <w:t>строительным нормам и правилам. Твердые покрытия нуждаются в восстановлении, число существующих малых 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Мероприятия настоящей муниципальной программы позволят осуществить приведение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 состояние, пригодное для создания условий, способствующих нормальной жизнедеятельности населения городского округа. Улучшение благоустройства территории городского округа будет способствовать экологической безопасности здоровья человека, повышению качественного уровня жизни населения городского округа.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2. Приоритеты муниципальной политики в сфере реализации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программы, цели, задачи и показатели</w:t>
      </w:r>
    </w:p>
    <w:p w:rsidR="00A830A8" w:rsidRPr="00F812FA" w:rsidRDefault="008C7398">
      <w:pPr>
        <w:pStyle w:val="ConsPlusTitle0"/>
        <w:jc w:val="center"/>
      </w:pPr>
      <w:r w:rsidRPr="00F812FA">
        <w:t>достижения целей и решения задач, описание основных конечных</w:t>
      </w:r>
    </w:p>
    <w:p w:rsidR="00A830A8" w:rsidRPr="00F812FA" w:rsidRDefault="008C7398">
      <w:pPr>
        <w:pStyle w:val="ConsPlusTitle0"/>
        <w:jc w:val="center"/>
      </w:pPr>
      <w:r w:rsidRPr="00F812FA">
        <w:t>результатов муниципальной программы, сроков и этапов</w:t>
      </w:r>
    </w:p>
    <w:p w:rsidR="00A830A8" w:rsidRPr="00F812FA" w:rsidRDefault="008C7398">
      <w:pPr>
        <w:pStyle w:val="ConsPlusTitle0"/>
        <w:jc w:val="center"/>
      </w:pPr>
      <w:r w:rsidRPr="00F812FA">
        <w:t>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на период до 2025 года. Муниципальная программа соответствует третьему стратегическому направлению Стратегии "Обеспечение комфортной и безопасной среды обитания населения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 Одной из стратегических задач является комплексное благоустройство населенных пунктов и развитие общественного транспорта.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Таким образом, исходя из обозначенной стратегической задачи, целью муниципальной программы является создание условий для устойчивого функционирования дорожной сети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 соответствии с социально-экономическими потребностями населения.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Для достижения указанной цели необходимо решить следующие задачи: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1. Развитие сети автомобильных дорог в соответствии с темпами экономического развития городского округа.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2. 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3. Улучшение транспортно-эксплуатационного состояния существующей сети автомобильных дорог и сооружений.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4.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Муниципальная программа рассчитана на 2014 - 2025 годы с разбивкой на два этапа: I этап: 2014 - 2020 годы, II этап: 2021 - 2025 годы.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результате реализации мероприятий муниципальной программы к 2025 году: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1. Доля населенных пунктов, обеспеченных подъездными дорогами с твердым покрытием, составит 100%.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увеличится до 90,44%.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3. Доля площади убираемой территории в общей площади, подлежащей уборке, </w:t>
      </w:r>
      <w:proofErr w:type="gramStart"/>
      <w:r w:rsidRPr="00F812FA">
        <w:t>на конец</w:t>
      </w:r>
      <w:proofErr w:type="gramEnd"/>
      <w:r w:rsidRPr="00F812FA">
        <w:t xml:space="preserve"> 2025 года увеличится до 90%.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4. Доля механизированной уборки в общем объеме работ по содержанию улично-дорожной сети </w:t>
      </w:r>
      <w:proofErr w:type="gramStart"/>
      <w:r w:rsidRPr="00F812FA">
        <w:t>на конец</w:t>
      </w:r>
      <w:proofErr w:type="gramEnd"/>
      <w:r w:rsidRPr="00F812FA">
        <w:t xml:space="preserve"> 2025 года увеличится до 74%.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5. Доля благоустроенных дворовых территорий в общем количестве дворовых территорий многоквартирных домов увеличится до 100%.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Перечень мероприятий подпрограмм, а также сроки и этапы их реализации подлежат ежегодной корректировке в соответствии с достигнутыми результатами в предшествующий период реализации муниципальной программы.</w:t>
      </w:r>
    </w:p>
    <w:p w:rsidR="00A830A8" w:rsidRPr="00F812FA" w:rsidRDefault="008C7398">
      <w:pPr>
        <w:pStyle w:val="ConsPlusTitle0"/>
        <w:jc w:val="center"/>
        <w:outlineLvl w:val="1"/>
      </w:pPr>
      <w:r w:rsidRPr="00F812FA">
        <w:t>3. Перечень нормативных правовых актов органов местного</w:t>
      </w:r>
    </w:p>
    <w:p w:rsidR="00A830A8" w:rsidRPr="00F812FA" w:rsidRDefault="008C7398">
      <w:pPr>
        <w:pStyle w:val="ConsPlusTitle0"/>
        <w:jc w:val="center"/>
      </w:pPr>
      <w:r w:rsidRPr="00F812FA">
        <w:t xml:space="preserve">самоуправления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</w:t>
      </w:r>
      <w:proofErr w:type="gramStart"/>
      <w:r w:rsidRPr="00F812FA">
        <w:t>Белгородской</w:t>
      </w:r>
      <w:proofErr w:type="gramEnd"/>
    </w:p>
    <w:p w:rsidR="00A830A8" w:rsidRPr="00F812FA" w:rsidRDefault="008C7398">
      <w:pPr>
        <w:pStyle w:val="ConsPlusTitle0"/>
        <w:jc w:val="center"/>
      </w:pPr>
      <w:r w:rsidRPr="00F812FA">
        <w:t>области, принятие или изменение которых необходимо</w:t>
      </w:r>
    </w:p>
    <w:p w:rsidR="00A830A8" w:rsidRPr="00F812FA" w:rsidRDefault="008C7398">
      <w:pPr>
        <w:pStyle w:val="ConsPlusTitle0"/>
        <w:jc w:val="center"/>
      </w:pPr>
      <w:r w:rsidRPr="00F812FA">
        <w:t>для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Перечень правовых актов органов местного самоуправления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принятие или изменение которых необходимо для реализации муниципальной программы, не предусмотрен.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lastRenderedPageBreak/>
        <w:t>4. Обоснование выделения подпрограмм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совершенствования и </w:t>
      </w:r>
      <w:proofErr w:type="gramStart"/>
      <w:r w:rsidRPr="00F812FA">
        <w:t>развития</w:t>
      </w:r>
      <w:proofErr w:type="gramEnd"/>
      <w:r w:rsidRPr="00F812FA">
        <w:t xml:space="preserve"> автомобильных дорог общего 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состав муниципальной программы включены следующие подпрограммы: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1. </w:t>
      </w:r>
      <w:hyperlink w:anchor="P261" w:tooltip="Подпрограмма &quot;Строительство (реконструкция) дорог">
        <w:r w:rsidRPr="00F812FA">
          <w:t>Подпрограмма</w:t>
        </w:r>
      </w:hyperlink>
      <w:r w:rsidRPr="00F812FA">
        <w:t xml:space="preserve"> "Строительство (реконструкция) дорог с твердым покрытием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Подпрограмма представляет собой комплекс мероприятий по реконструкции, строительству дорог до сельских населенных пунктов, не имеющих круглогодичной связи с сетью дорог общего пользования, строительству автомобильных дорог по улично-дорожной сети населенных пунктов.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2. </w:t>
      </w:r>
      <w:hyperlink w:anchor="P393" w:tooltip="Подпрограмма &quot;Капитальный ремонт автомобильных дорог">
        <w:r w:rsidRPr="00F812FA">
          <w:t>Подпрограмма</w:t>
        </w:r>
      </w:hyperlink>
      <w:r w:rsidRPr="00F812FA">
        <w:t xml:space="preserve"> "Капитальный ремонт автомобильных </w:t>
      </w:r>
      <w:proofErr w:type="gramStart"/>
      <w:r w:rsidRPr="00F812FA">
        <w:t xml:space="preserve">дорог общего 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</w:t>
      </w:r>
      <w:proofErr w:type="gramEnd"/>
      <w:r w:rsidRPr="00F812FA">
        <w:t>".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Подпрограмма представляет собой комплекс мероприятий по капитальному ремонту автомобильных дорог по сельским населенным пунктам и в г. Губкине.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3. </w:t>
      </w:r>
      <w:hyperlink w:anchor="P511" w:tooltip="Подпрограмма &quot;Содержание улично-дорожной сети Губкинского">
        <w:r w:rsidRPr="00F812FA">
          <w:t>Подпрограмма</w:t>
        </w:r>
      </w:hyperlink>
      <w:r w:rsidRPr="00F812FA">
        <w:t xml:space="preserve"> "Содержание улично-дорожной сети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Подпрограмма представляет собой комплекс мероприятий по санитарному содержанию территории; организации круглосуточного дежурства с целью предотвращения аварийных ситуаций и своевременной очистке автодорог в зимнее время; организации обработки дорожных покрытий автодорог </w:t>
      </w:r>
      <w:proofErr w:type="spellStart"/>
      <w:r w:rsidRPr="00F812FA">
        <w:t>противогололедными</w:t>
      </w:r>
      <w:proofErr w:type="spellEnd"/>
      <w:r w:rsidRPr="00F812FA">
        <w:t xml:space="preserve"> материалами.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4. </w:t>
      </w:r>
      <w:hyperlink w:anchor="P656" w:tooltip="Подпрограмма &quot;Благоустройство дворовых территорий">
        <w:r w:rsidRPr="00F812FA">
          <w:t>Подпрограмма</w:t>
        </w:r>
      </w:hyperlink>
      <w:r w:rsidRPr="00F812FA">
        <w:t xml:space="preserve"> "Благоустройство дворовых территорий многоквартирных домов, проездов к дворовым территориям многоквартирных домов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Подпрограмма представляет собой комплекс мероприятий по организации во дворах дорожно-</w:t>
      </w:r>
      <w:proofErr w:type="spellStart"/>
      <w:r w:rsidRPr="00F812FA">
        <w:t>тропиночной</w:t>
      </w:r>
      <w:proofErr w:type="spellEnd"/>
      <w:r w:rsidRPr="00F812FA">
        <w:t xml:space="preserve"> сети, устройству детских 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</w:p>
    <w:p w:rsidR="00420F70" w:rsidRDefault="00F812FA" w:rsidP="00420F70">
      <w:pPr>
        <w:pStyle w:val="ConsPlusNormal0"/>
        <w:ind w:firstLine="540"/>
        <w:jc w:val="both"/>
      </w:pPr>
      <w:hyperlink w:anchor="P763" w:tooltip="Система основных мероприятий (мероприятий) и показателей">
        <w:r w:rsidR="008C7398" w:rsidRPr="00F812FA">
          <w:t>Система</w:t>
        </w:r>
      </w:hyperlink>
      <w:r w:rsidR="008C7398" w:rsidRPr="00F812FA">
        <w:t xml:space="preserve"> основных мероприятий (мероприятий) и показателей подпрограмм представлена в приложении N 1 к муниципальной программе.</w:t>
      </w:r>
    </w:p>
    <w:p w:rsidR="00FF079B" w:rsidRPr="00F812FA" w:rsidRDefault="008C7398" w:rsidP="00420F70">
      <w:pPr>
        <w:pStyle w:val="ConsPlusNormal0"/>
        <w:ind w:firstLine="540"/>
        <w:jc w:val="both"/>
      </w:pPr>
      <w:r w:rsidRPr="00F812FA">
        <w:t>Сроки реализации подпрограмм совпадают со сроками реализации муниципальной программы в целом.</w:t>
      </w:r>
    </w:p>
    <w:p w:rsidR="00A830A8" w:rsidRPr="00F812FA" w:rsidRDefault="008C7398">
      <w:pPr>
        <w:pStyle w:val="ConsPlusTitle0"/>
        <w:jc w:val="center"/>
        <w:outlineLvl w:val="1"/>
      </w:pPr>
      <w:r w:rsidRPr="00F812FA">
        <w:t>5. Ресурсное обеспечение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Общий объем финансирования муниципальной программы за счет всех источников финансирования составит 3203216,25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- 89712,90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- 99739,40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- 166659,60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2017 год - 103154,00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- 135545,40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- 225516,60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- 299313,00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- 479680,55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- 468176,80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- 517942,00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- 356037,00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- 261739,00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Объем финансирования муниципальной программы за счет средств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составит 1684909,75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- 89712,90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- 82139,00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- 103159,60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2017 год - 103154,00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- 119823,40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- 104918,70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- 122566,00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- 257993,55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- 213626,60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lastRenderedPageBreak/>
        <w:t>2023 год - 183618,00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- 146059,00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- 158139,00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 финансирования муниципальной программы за счет средств областного бюджета составит 928526,10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- 15722,00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- 64437,90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- 108377,00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- 221687,00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- 229850,20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- 145524,00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2024 год - 142928,00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Общий объем финансирования программы за счет средств федерального бюджета составит 124530,0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- 56160,0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2020 год - 68370,0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 финансирования муниципальной программы за счет средств иных источников финансирования составит 465250,40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- 17600,40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- 63500,00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- 24700,00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- 188800,00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- 67050,00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- 103600,00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Объемы финансирования мероприятий муниципальной программы ежегодно подлежат уточнению при формировании бюджета на очередной финансовый год и плановый период.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6. Анализ рисков реализации муниципальной программы</w:t>
      </w:r>
    </w:p>
    <w:p w:rsidR="00A830A8" w:rsidRPr="00F812FA" w:rsidRDefault="008C7398">
      <w:pPr>
        <w:pStyle w:val="ConsPlusTitle0"/>
        <w:jc w:val="center"/>
      </w:pPr>
      <w:r w:rsidRPr="00F812FA">
        <w:t>и описание мер управления рисками реализации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Возникновение данных рисков может привести к сокращению объемов и прекращению финансирования мероприятий муниципальной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ежегодное уточнение объемов финансовых средств на реализацию мероприятий муниципальной программы в зависимости от достигнутых результатов;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определение приоритетов для первоочередного финансирования.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Правовые риски связаны с изменениями законодательства, длительностью формирования нормативно-правовой базы, необходимой для реализации муниципальной программы. Это может привести к увеличению планируемых сроков и изменению условий реализации мероприятий муниципальной программы.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Информационные риски вызваны отсутствием или недостаточностью исходной прогнозной информации, используемой в процессе разработки и реализации муниципальной программы. С целью управления информационными рисками будет проводиться работа, направленная </w:t>
      </w:r>
      <w:proofErr w:type="gramStart"/>
      <w:r w:rsidRPr="00F812FA">
        <w:t>на</w:t>
      </w:r>
      <w:proofErr w:type="gramEnd"/>
      <w:r w:rsidRPr="00F812FA">
        <w:t>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выявление потенциальных рисков путем мониторинга основных социально-экономических и финансовых показателей;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мониторинг и оценку исполнения целевых показателей (индикаторов) муниципальной программы, выявление факторов риска, оценку их значимости.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нарушение сроков реализации мероприятий муниципальной программы, невыполнение ее цели и задач, </w:t>
      </w:r>
      <w:proofErr w:type="spellStart"/>
      <w:r w:rsidRPr="00F812FA">
        <w:t>недостижение</w:t>
      </w:r>
      <w:proofErr w:type="spellEnd"/>
      <w:r w:rsidRPr="00F812FA">
        <w:t xml:space="preserve"> плановых значений показателей.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Основные условия минимизации административных рисков: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- формирование эффективной системы управления реализацией муниципальной программы и ее </w:t>
      </w:r>
      <w:r w:rsidRPr="00F812FA">
        <w:lastRenderedPageBreak/>
        <w:t>подпрограмм;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- повышение </w:t>
      </w:r>
      <w:proofErr w:type="gramStart"/>
      <w:r w:rsidRPr="00F812FA">
        <w:t>эффективности взаимодействия участников реализации муниципальной программы</w:t>
      </w:r>
      <w:proofErr w:type="gramEnd"/>
      <w:r w:rsidRPr="00F812FA">
        <w:t>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создание системы мониторинга реализации муниципальной программы;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своевременная корректировка мероприятий муниципальной программы.</w:t>
      </w: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bookmarkStart w:id="1" w:name="P261"/>
      <w:bookmarkEnd w:id="1"/>
      <w:r w:rsidRPr="00F812FA">
        <w:t>Подпрограмма "Строительство (реконструкция) дорог</w:t>
      </w:r>
    </w:p>
    <w:p w:rsidR="00A830A8" w:rsidRPr="00F812FA" w:rsidRDefault="008C7398">
      <w:pPr>
        <w:pStyle w:val="ConsPlusTitle0"/>
        <w:jc w:val="center"/>
      </w:pPr>
      <w:r w:rsidRPr="00F812FA">
        <w:t xml:space="preserve">с твердым покрытием на территории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1)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Развитие сети автомобильных дорог в соответствии с темпами экономического развития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Обеспечение </w:t>
            </w:r>
            <w:proofErr w:type="gramStart"/>
            <w:r w:rsidRPr="00F812FA">
              <w:t>круглогодичной</w:t>
            </w:r>
            <w:proofErr w:type="gramEnd"/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транспортной доступности населенных пунктов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подпрограммы 1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1 за счет всех источников финансирования составит 652214,4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- 15739,0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- 42500,0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- 86860,0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- 123358,4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- 61400,0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- 196707,0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- 72050,0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- 53600,0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Общий объем финансирования подпрограммы 1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составит 124943,4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- 17,0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- 6500,0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- 11116,0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- 91163,4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- 3240,0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- 7907,0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- 5000,0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Объем финансирования подпрограммы 1 за счет средств областного бюджета составит 193121,0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- 15722,0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- 36000,0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- 75744,0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- 32195,0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- 33460,0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Объем финансирования подпрограммы 1 за счет иных источников </w:t>
            </w:r>
            <w:r w:rsidRPr="00F812FA">
              <w:lastRenderedPageBreak/>
              <w:t>финансирования в 2025 году составит 334150,0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- 24700,0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- 188800,0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- 67050,0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- 53600,0 тыс. рублей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ед.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</w:t>
            </w:r>
            <w:proofErr w:type="gramStart"/>
            <w:r w:rsidRPr="00F812FA">
              <w:t>км</w:t>
            </w:r>
            <w:proofErr w:type="gramEnd"/>
          </w:p>
        </w:tc>
      </w:tr>
      <w:tr w:rsidR="002E671D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К 2025 году: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69,127 км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1,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Эффективное функционирование и устойчивое развитие сети автомобильных дорог являются необходимыми условиями экономического роста, улучшения качества жизни населения, выравнивания </w:t>
      </w:r>
      <w:proofErr w:type="gramStart"/>
      <w:r w:rsidRPr="00F812FA">
        <w:t xml:space="preserve">уровня социально-экономического развития каждого населенного пункта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</w:t>
      </w:r>
      <w:proofErr w:type="gramEnd"/>
      <w:r w:rsidRPr="00F812FA">
        <w:t>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Строительство дорог с твердым покрытием на территории городского округа велось в рамках областных долгосрочных программ. За период 2008 - 2012 годов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выполнено строительство дорог с твердым покрытием протяженностью 209 км, из них 56 км - подъезды к сельским населенным пунктам.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В целях улучшения транспортного сообщения в рамках реализации государственной программы "Совершенствование и развитие транспортной системы и дорожной сети Белгородской области" в 2018 году выполнено строительство автодороги </w:t>
      </w:r>
      <w:proofErr w:type="spellStart"/>
      <w:r w:rsidRPr="00F812FA">
        <w:t>Строкино</w:t>
      </w:r>
      <w:proofErr w:type="spellEnd"/>
      <w:r w:rsidRPr="00F812FA">
        <w:t xml:space="preserve"> - граница Курской области протяженностью 2,163 км, в 2019 - 2020 годах - строительство автодороги с. </w:t>
      </w:r>
      <w:proofErr w:type="spellStart"/>
      <w:r w:rsidRPr="00F812FA">
        <w:t>Чуево</w:t>
      </w:r>
      <w:proofErr w:type="spellEnd"/>
      <w:r w:rsidRPr="00F812FA">
        <w:t xml:space="preserve"> - х. Октябрьский протяженностью 4,3 км.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подъездные дороги из асфальтобетона к 10 сельским населенным пунктам.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В 2020 году выполнено строительство автодорог протяженностью 9,2 км к 3 сельским населенным пунктам. В 2021 году в рамках инициативного бюджетирования выполнено строительство участков дорог с твердым покрытием общей протяженностью 4,229 км в с. </w:t>
      </w:r>
      <w:proofErr w:type="spellStart"/>
      <w:r w:rsidRPr="00F812FA">
        <w:t>Истобное</w:t>
      </w:r>
      <w:proofErr w:type="spellEnd"/>
      <w:r w:rsidRPr="00F812FA">
        <w:t xml:space="preserve">, Богомолье, </w:t>
      </w:r>
      <w:proofErr w:type="spellStart"/>
      <w:r w:rsidRPr="00F812FA">
        <w:t>Уколово.</w:t>
      </w:r>
      <w:proofErr w:type="spellEnd"/>
    </w:p>
    <w:p w:rsidR="00420F70" w:rsidRDefault="008C7398" w:rsidP="00420F70">
      <w:pPr>
        <w:pStyle w:val="ConsPlusNormal0"/>
        <w:ind w:firstLine="540"/>
        <w:jc w:val="both"/>
      </w:pPr>
      <w:r w:rsidRPr="00F812FA">
        <w:t>Строительство дорог с твердым покрытием значительно улучшило качество жизни жителей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Тем не менее, с учетом выполнения программ строительства автомобильных дорог, проведенной инвентаризации протяженность грунтовых дорог на территории городского округа составляет более 100 км.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1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Целью подпрограммы 1 является развитие сети автомобильных дорог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 соответствии с темпами экономического развития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Для достижения указанной цели предлагается сконцентрировать финансовые и организационные усилия на реализации мероприятий по обеспечению круглогодичной транспортной доступности сельских населенных пунктов, улучшении транспортного сообщения, а также обеспечении автодорогами с твердым покрытием улично-дорожной сети населенных пунктов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A830A8" w:rsidRPr="00F812FA" w:rsidRDefault="008C7398">
      <w:pPr>
        <w:pStyle w:val="ConsPlusNormal0"/>
        <w:spacing w:before="200"/>
        <w:ind w:firstLine="540"/>
        <w:jc w:val="both"/>
      </w:pPr>
      <w:r w:rsidRPr="00F812FA">
        <w:lastRenderedPageBreak/>
        <w:t>Подпрограмма 1 рассчитана на 2014 - 2025 годы с разбивкой на два этапа: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 этап: 2014 - 2020 годы;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II этап: 2021 - 2025 годы.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1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Подпрограмма 1 предусматривает осуществление комплекса мероприятий по строительству автомобильных дорог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рамках решения задачи "Обеспечение круглогодичной транспортной доступности населенных пунктов городского округа" планируется реализовать основное мероприятие 1.1 "Строительство (реконструкция) автомобильных дорог общего пользования местного значения с твердым покрытием". В составе основного мероприятия: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мероприятие 1.1.1 "Строительство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пользования", которое включает в себя строительство (реконструкцию) дорог до сельских населенных пунктов для обеспечения автотранспортной связью населенных пунктов городского округа между собой;</w:t>
      </w:r>
    </w:p>
    <w:p w:rsidR="00A830A8" w:rsidRPr="00F812FA" w:rsidRDefault="008C7398" w:rsidP="00F812FA">
      <w:pPr>
        <w:pStyle w:val="ConsPlusNormal0"/>
        <w:ind w:firstLine="540"/>
        <w:jc w:val="both"/>
      </w:pPr>
      <w:proofErr w:type="gramStart"/>
      <w:r w:rsidRPr="00F812FA">
        <w:t>- мероприятие 1.1.2 "Строительство автомобильных дорог общего пользования местного значения в населенных пунктах", которое включает в себя обеспечение автодорогами с твердым покрытием улично-дорожной сети населенных пунктов городского округа;</w:t>
      </w:r>
      <w:proofErr w:type="gramEnd"/>
    </w:p>
    <w:p w:rsidR="00420F70" w:rsidRDefault="008C7398" w:rsidP="00420F70">
      <w:pPr>
        <w:pStyle w:val="ConsPlusNormal0"/>
        <w:ind w:firstLine="540"/>
        <w:jc w:val="both"/>
      </w:pPr>
      <w:r w:rsidRPr="00F812FA">
        <w:t>- мероприятие 1.1.3 "Проектно-изыскательские работы", которое включает в себя 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объектов.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Запланированные мероприятия подпрограммы 1 окажут позитивное влияние на решение социальных проблем, создание безопасных условий движения транспорта и перевозки пассажиров, повышение комфортности проживания жителей городского округа.</w:t>
      </w: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1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В результате реализации мероприятий подпрограммы 1 к 2025 году: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69,127 км.</w:t>
      </w:r>
    </w:p>
    <w:p w:rsidR="00A830A8" w:rsidRPr="00F812FA" w:rsidRDefault="00A830A8" w:rsidP="00F812FA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1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Общий объем финансирования подпрограммы 1 за счет всех источников финансирования составит 652214,4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- 15739,0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- 42500,0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- 86860,0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- 123358,4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- 61400,0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- 196707,0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- 72050,0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- 53600,0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Общий объем финансирования подпрограммы 1 за счет средств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составит 124943,4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- 17,0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- 6500,0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- 11116,0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- 91163,4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- 3240,0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- 7907,0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2024 год - 5000,0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 финансирования подпрограммы 1 за счет средств областного бюджета составит 193121,0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lastRenderedPageBreak/>
        <w:t>2018 год - 15722,0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- 36000,0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- 75744,0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- 32195,0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2022 год - 33460,0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 финансирования подпрограммы 1 за счет иных источников финансирования в 2025 году составит 334150,0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- 24700,0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- 188800,0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- 67050,0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2025 год - 53600,0 тыс. рублей.</w:t>
      </w: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bookmarkStart w:id="2" w:name="P393"/>
      <w:bookmarkEnd w:id="2"/>
      <w:r w:rsidRPr="00F812FA">
        <w:t>Подпрограмма "Капитальный ремонт автомобильных дорог</w:t>
      </w:r>
    </w:p>
    <w:p w:rsidR="00A830A8" w:rsidRPr="00F812FA" w:rsidRDefault="008C7398">
      <w:pPr>
        <w:pStyle w:val="ConsPlusTitle0"/>
        <w:jc w:val="center"/>
      </w:pPr>
      <w:r w:rsidRPr="00F812FA">
        <w:t xml:space="preserve">общего пользования местного значения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"Капитальный ремонт автомобильных 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2)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Улучшение транспортно-эксплуатационных характеристик и потребительских </w:t>
            </w:r>
            <w:proofErr w:type="gramStart"/>
            <w:r w:rsidRPr="00F812FA">
              <w:t>свойств</w:t>
            </w:r>
            <w:proofErr w:type="gramEnd"/>
            <w:r w:rsidRPr="00F812FA">
              <w:t xml:space="preserve"> автомобильных дорог с целью снижения транспортных издержек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подпрограммы 2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2 за счет всех источников финансирования составит 984024,05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- 54557,6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- 84597,9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- 116059,0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- 220475,55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- 195882,0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- 169524,0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- 142928,0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подпрограммы 2 за счет средств областного бюджета составит 722070,9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- 28437,9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- 32633,0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- 181292,0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- 191256,0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- 145524,0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- 142928,0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Общий объем финансирования подпрограммы 2 за счет средств </w:t>
            </w:r>
            <w:r w:rsidRPr="00F812FA">
              <w:lastRenderedPageBreak/>
              <w:t>федерального бюджета составит 124530,0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- 56160,0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- 68370,0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Общий объем финансирования подпрограммы 2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составляет 82865,557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- 15056,0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- 39183,557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- 4626,0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- 24000,0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2 за счет иных источников финансирования составит 54557,6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- 54557,6 тыс. рублей.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конечных результатов реализации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 w:rsidRPr="00F812FA">
              <w:t>км</w:t>
            </w:r>
            <w:proofErr w:type="gramEnd"/>
          </w:p>
        </w:tc>
      </w:tr>
      <w:tr w:rsidR="002E671D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увеличится на 127,6 км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2,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В последние годы из-за возросшей интенсивности движения и значительного увеличения нагрузок на дорожное полотно происходит образование </w:t>
      </w:r>
      <w:proofErr w:type="spellStart"/>
      <w:r w:rsidRPr="00F812FA">
        <w:t>колейности</w:t>
      </w:r>
      <w:proofErr w:type="spellEnd"/>
      <w:r w:rsidRPr="00F812FA">
        <w:t xml:space="preserve"> и разрушение асфальтобетонного покрытия автодорог.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Одной из проблем дорожного хозяйства является неудовлетворительное транспортно-эксплуатационное состояние и высокая степень износа автомобильных дорог общего пользования местного значения.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Несмотря на меры, принимаемые по капитальному ремонту и ремонту автодорог, до настоящего времени на территории городского округа эксплуатируются автодороги с просроченными межремонтными сроками и не соответствующие нормативным требованиям к транспортно-эксплуатационному состоянию.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В условиях роста цен на дорожные работы и ограниченного финансирования эти требования не выполняются, с каждым годом увеличивается протяженность автомобильных дорог общего пользования местного значения, требующих ремонта.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На сегодня потребность в проведении ремонтов автомобильных дорог составляет 37,006 км.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2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Целью подпрограммы 2 является 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Для достижения указанной цели необходимо выполнить мероприятия по улучшению транспортно-эксплуатационных характеристик и потребительских </w:t>
      </w:r>
      <w:proofErr w:type="gramStart"/>
      <w:r w:rsidRPr="00F812FA">
        <w:t>свойств</w:t>
      </w:r>
      <w:proofErr w:type="gramEnd"/>
      <w:r w:rsidRPr="00F812FA">
        <w:t xml:space="preserve"> автомобильных дорог с целью снижения транспортных издержек.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Подпрограмма 2 рассчитана на 2014 - 2025 годы с разбивкой на два этапа: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 этап: 2014 - 2020 годы;</w:t>
      </w:r>
    </w:p>
    <w:p w:rsidR="00FF079B" w:rsidRPr="00F812FA" w:rsidRDefault="008C7398" w:rsidP="00F812FA">
      <w:pPr>
        <w:pStyle w:val="ConsPlusNormal0"/>
        <w:ind w:firstLine="540"/>
        <w:jc w:val="both"/>
      </w:pPr>
      <w:r w:rsidRPr="00F812FA">
        <w:t>II этап: 2021 - 2025 годы.</w:t>
      </w:r>
    </w:p>
    <w:p w:rsidR="00FF079B" w:rsidRPr="00F812FA" w:rsidRDefault="00FF079B">
      <w:pPr>
        <w:pStyle w:val="ConsPlusTitle0"/>
        <w:jc w:val="center"/>
        <w:outlineLvl w:val="2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2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Подпрограмма 2 предусматривает осуществление мероприятий по капитальному ремонту автомобильных дорог общего пользования местного значения.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В рамках решения задачи "Улучшение транспортно-эксплуатационных характеристик и потребительских </w:t>
      </w:r>
      <w:proofErr w:type="gramStart"/>
      <w:r w:rsidRPr="00F812FA">
        <w:t>свойств</w:t>
      </w:r>
      <w:proofErr w:type="gramEnd"/>
      <w:r w:rsidRPr="00F812FA">
        <w:t xml:space="preserve"> автомобильных дорог с целью снижения транспортных издержек" планируется реализовать два основных мероприятия.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lastRenderedPageBreak/>
        <w:t>Основное мероприятие 2.1 "Капитальный ремонт автомобильных дорог по сельским населенным пунктам городского округа" включает в себя капитальный ремонт автомобильных дорог по сельским населенным пунктам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Основное мероприятие 2.2 "Капитальный ремонт автомобильных дорог в г. Губкине" включает в себя капитальный ремонт дорог в г. Губкине.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2.</w:t>
      </w:r>
    </w:p>
    <w:p w:rsidR="00A830A8" w:rsidRPr="00F812FA" w:rsidRDefault="008C7398">
      <w:pPr>
        <w:pStyle w:val="ConsPlusTitle0"/>
        <w:jc w:val="center"/>
      </w:pPr>
      <w:r w:rsidRPr="00F812FA">
        <w:t>Перечень показателей подпрограммы 2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В результате реализации мероприятий подпрограммы 2 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увеличится на 127,6 км.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2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Общий объем финансирования подпрограммы 2 за счет всех источников финансирования составит 984024,05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- 54557,6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- 84597,9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- 116059,0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- 220475,55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- 195882,0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- 169524,0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2024 год - 142928,0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Общий объем финансирования подпрограммы 2 за счет средств областного бюджета составит 722070,9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- 28437,9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- 32633,0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- 181292,0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- 191256,0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- 145524,0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2024 год - 142928,0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Общий объем финансирования подпрограммы 2 за счет средств федерального бюджета составит 124530,0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- 56160,0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2020 год - 68370,0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Общий объем финансирования подпрограммы 2 за счет средств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составляет 82865,557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- 15056,0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- 39183,557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- 4626,0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2023 год - 24000,0 тыс. рублей.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Общий объем финансирования подпрограммы 2 за счет иных источников финансирования составит 54557,6 тыс. рублей, в том числе по годам:</w:t>
      </w:r>
    </w:p>
    <w:p w:rsidR="00FF079B" w:rsidRDefault="00F812FA" w:rsidP="00420F70">
      <w:pPr>
        <w:pStyle w:val="ConsPlusNormal0"/>
        <w:ind w:firstLine="540"/>
        <w:jc w:val="both"/>
      </w:pPr>
      <w:r>
        <w:t>2016 год - 54557,6 тыс. рублей.</w:t>
      </w:r>
      <w:bookmarkStart w:id="3" w:name="P511"/>
      <w:bookmarkEnd w:id="3"/>
    </w:p>
    <w:p w:rsidR="00F812FA" w:rsidRPr="00F812FA" w:rsidRDefault="00F812FA" w:rsidP="00F812FA">
      <w:pPr>
        <w:pStyle w:val="ConsPlusNormal0"/>
        <w:spacing w:before="200"/>
        <w:ind w:firstLine="54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 xml:space="preserve">Подпрограмма "Содержание улично-дорожной сети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3)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Управление жилищно-коммунального комплекса и систем жизнеобеспечения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 бюджетных ассигнований подпрограммы 3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3 за счет всех источников финансирования составит 1441654,5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- 58373,4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- 64698,0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- 103159,6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2017 год - 103154,0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- 119806,4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- 98418,7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- 96394,0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- 135846,6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- 210894,8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- 151711,0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- 141059,0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- 158139,0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Общий объем финансирования подпрограммы 3 за счет средств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составит 1428320,3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- 58373,4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- 64698,0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- 103159,6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2017 год - 103154,0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2018 год - 119806,4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2019 год - 98418,7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2020 год - 96394,0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- 127646,6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- 205760,6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2023 год - 151711,0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2024 год - 141059,0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- 158139,0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3 за счет средств областного бюджета составит 13334,2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2021 год - 8200,0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2022 год - 5134,2 тыс. рублей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В ходе реализации подпрограммы 3 отдельные мероприятия могут уточняться, а объем финансирования подлежит корректировке с учетом возможностей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Доля площади убираемой территории в общей площади, подлежащей уборке</w:t>
            </w:r>
            <w:proofErr w:type="gramStart"/>
            <w:r w:rsidRPr="00F812FA">
              <w:t>, %;</w:t>
            </w:r>
            <w:proofErr w:type="gramEnd"/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доля механизированной уборки в общем объеме работ по содержанию улично-дорожной сети, %</w:t>
            </w:r>
          </w:p>
        </w:tc>
      </w:tr>
      <w:tr w:rsidR="002E671D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реализации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Увеличение доли площади убираемой территории в общей площади, подлежащей уборке, </w:t>
            </w:r>
            <w:proofErr w:type="gramStart"/>
            <w:r w:rsidRPr="00F812FA">
              <w:t>на конец</w:t>
            </w:r>
            <w:proofErr w:type="gramEnd"/>
            <w:r w:rsidRPr="00F812FA">
              <w:t xml:space="preserve"> 2025 года до 90%;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увеличение доли механизированной уборки в общем объеме работ по </w:t>
            </w:r>
            <w:r w:rsidRPr="00F812FA">
              <w:lastRenderedPageBreak/>
              <w:t xml:space="preserve">содержанию улично-дорожной сети </w:t>
            </w:r>
            <w:proofErr w:type="gramStart"/>
            <w:r w:rsidRPr="00F812FA">
              <w:t>на конец</w:t>
            </w:r>
            <w:proofErr w:type="gramEnd"/>
            <w:r w:rsidRPr="00F812FA">
              <w:t xml:space="preserve"> 2025 года до 74%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3,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Одной из важнейших задач благоустройства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является 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Работы по содержанию улично-дорожной сети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важно проводить как в летний период, так и в зимний.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летний период источником загрязнения проезжей части дорог являются пыль и мусор, приносимые ветром, а также грязь, заносимая колесами автомобилей. Наносы песка, пыли, грунта действуют на покрытие при движении транспорта как абразивный материал и способствуют преждевременному их износу. Прикатанный колесами грунт создает неровности на покрытиях и снижает коэффициент службы. Наносы глины и ила на покрытиях при увлажнении снижают коэффициент сцепления, что сказывается на безопасности дорожного движения.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Поэтому очень важно своевременно выполнять работы по удалению загрязнений, скапливающихся на покрытии дорог и приводящих к запыленности воздуха и ухудшению эстетичного вида городского округа.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Основными операциями по летней уборке улично-дорожной сети являются: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подметание проезжей части дорожно-уборочными машинами;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уборка подметально-уборочными машинами с вакуумной подборкой мусора;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очистка проезжей части по лотку, вручную - от случайного мусора;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подметание перекрестков, тротуаров, остановок и заездных карманов;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мойка проезжей части дорог, тротуаров дорожно-уборочными машинами;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вывоз грязи и случайного мусора с механизированной и ручной погрузкой.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В зимний период необходимо обеспечивать такое состояние дорог, которое в максимально возможной степени удовлетворяет требованиям непрерывного, удобного и безопасного движения автотранспорта с расчетной скоростью по дорогам городского округа.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Большое значение имеет своевременность очистки дорог от снега и льда. При несвоевременной уборке выпавший снег под воздействием колес автомобилей </w:t>
      </w:r>
      <w:proofErr w:type="gramStart"/>
      <w:r w:rsidRPr="00F812FA">
        <w:t>уплотняется и на покрытии образуются</w:t>
      </w:r>
      <w:proofErr w:type="gramEnd"/>
      <w:r w:rsidRPr="00F812FA">
        <w:t xml:space="preserve"> снежные колеи и снежно-ледяной накат, что значительно ухудшает условия движения транспортных средств и увеличивает возможность возникновения ДТП.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При зимней уборке улично-дорожной сети необходимо обеспечить следующие виды работ: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расчистка проезжей части от выпадающего снега и предотвращение образования уплотненной корки;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удаление с покрытий снежно-ледяных накатов и уплотненного снега;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удаление снежных валов, образовавшихся в результате расчистки проезжей части;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- борьба со скользкостью на проезжей части при гололеде, в рамках которой производится посыпка дорог, улиц и других мест общего пользования </w:t>
      </w:r>
      <w:proofErr w:type="spellStart"/>
      <w:r w:rsidRPr="00F812FA">
        <w:t>пескосоляной</w:t>
      </w:r>
      <w:proofErr w:type="spellEnd"/>
      <w:r w:rsidRPr="00F812FA">
        <w:t xml:space="preserve"> смесью.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Работы по устранению гололеда и скользкости имеют первостепенное значение при создании условий безопасного движения транспортных средств и пешеходов.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Работы по зимней уборке улично-дорожной сети округа необходимо выполнять своевременно и качественно. В противном случае ликвидация снежно-ледяного слоя, остающегося после удаления вала снега в результате несоблюдения сроков удаления снежных валов, требует выполнения дополнительных уборочных операций (скалывание, зачистка лотков, </w:t>
      </w:r>
      <w:proofErr w:type="spellStart"/>
      <w:r w:rsidRPr="00F812FA">
        <w:t>скучивание</w:t>
      </w:r>
      <w:proofErr w:type="spellEnd"/>
      <w:r w:rsidRPr="00F812FA">
        <w:t xml:space="preserve"> и вывоз), отличающихся большой трудоемкостью.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</w:t>
      </w:r>
      <w:proofErr w:type="gramStart"/>
      <w:r w:rsidRPr="00F812FA">
        <w:t xml:space="preserve">уровня жизни населения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</w:t>
      </w:r>
      <w:proofErr w:type="gramEnd"/>
      <w:r w:rsidRPr="00F812FA">
        <w:t xml:space="preserve"> требуют повышения оперативности и качества выполнения работ по содержанию территории городского округа и своевременной санитарной уборке дорог и улиц.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Применение программно-целевого подхода к планированию расходов по содержанию территории городского округа и своевременной санитарной уборке дорог и улиц позволит достичь высокой эффективности и значимых результатов.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3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Основной целью подпрограммы 3 является улучшение транспортно-эксплуатационного состояния </w:t>
      </w:r>
      <w:r w:rsidRPr="00F812FA">
        <w:lastRenderedPageBreak/>
        <w:t>существующей сети автомобильных дорог и сооружений.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Задачей подпрограммы 3 является проведение мероприятий по предупреждению преждевременного износа и разрушения дорожного покрытия и обеспечению нормальных условий их эксплуатации.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Подпрограмма 3 рассчитана на 2014 - 2025 годы с разбивкой на два этапа: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 этап: 2014 - 2020 годы;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II этап: 2021 - 2025 годы.</w:t>
      </w:r>
    </w:p>
    <w:p w:rsidR="00A830A8" w:rsidRPr="00F812FA" w:rsidRDefault="00A830A8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3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Подпрограмма 3 предусматривает осуществление комплекса мероприятий по улучшению транспортно-эксплуатационного состояния существующей сети автомобильных дорог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В рамках решения задачи "Проведение мероприятий по предупреждению преждевременного износа и разрушения дорожного покрытия и обеспечению нормальных условий их эксплуатации" планируется реализовать основное мероприятие "Содержание и ремонт автомобильных дорог общего пользования местного значения", которое предусматривает проведение полного комплекса круглогодичных работ на всей сети дорог в соответствии с действующими нормативными документами.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Планы мероприятий подпрограммы 3 подлежат ежегодной корректировке с учетом объема финансирования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3</w:t>
      </w:r>
    </w:p>
    <w:p w:rsidR="00A830A8" w:rsidRPr="00F812FA" w:rsidRDefault="00A830A8">
      <w:pPr>
        <w:pStyle w:val="ConsPlusNormal0"/>
        <w:jc w:val="both"/>
      </w:pP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Увеличение доли площади убираемой территории в общей площади, подлежащей уборке, </w:t>
      </w:r>
      <w:proofErr w:type="gramStart"/>
      <w:r w:rsidRPr="00F812FA">
        <w:t>на конец</w:t>
      </w:r>
      <w:proofErr w:type="gramEnd"/>
      <w:r w:rsidRPr="00F812FA">
        <w:t xml:space="preserve"> 2025 года до 90%.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Увеличение доли механизированной уборки в общем объеме работ по содержанию улично-дорожной сети </w:t>
      </w:r>
      <w:proofErr w:type="gramStart"/>
      <w:r w:rsidRPr="00F812FA">
        <w:t>на конец</w:t>
      </w:r>
      <w:proofErr w:type="gramEnd"/>
      <w:r w:rsidRPr="00F812FA">
        <w:t xml:space="preserve"> 2025 года до 74%.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3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Общий объем финансирования подпрограммы 3 за счет всех источников финансирования составит 1441654,5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- 58373,4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- 64698,0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- 103159,6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2017 год - 103154,0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- 119806,4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- 98418,7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- 96394,0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- 135846,6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- 210894,8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- 151711,0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- 141059,0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- 158139,0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Общий объем финансирования подпрограммы 3 за счет средств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составит 1428320,3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- 58373,4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- 64698,0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- 103159,6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2017 год - 103154,0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2018 год - 119806,4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2019 год - 98418,7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2020 год - 96394,0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- 127646,6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- 205760,6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2023 год - 151711,0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2024 год - 141059,0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2025 год - 158139,0 тыс. рублей.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Общий объем финансирования подпрограммы 3 за счет средств областного бюджета составит </w:t>
      </w:r>
      <w:r w:rsidRPr="00F812FA">
        <w:lastRenderedPageBreak/>
        <w:t>13334,2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2021 год - 8200,0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2022 год - 5134,2 тыс. рублей.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В ходе реализации подпрограммы 3 отдельные мероприятия могут уточняться, а объем финансирования подлежит корректировке с учетом возможностей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округа.</w:t>
      </w:r>
    </w:p>
    <w:p w:rsidR="00FF079B" w:rsidRPr="00F812FA" w:rsidRDefault="00FF079B">
      <w:pPr>
        <w:pStyle w:val="ConsPlusTitle0"/>
        <w:jc w:val="center"/>
        <w:outlineLvl w:val="1"/>
      </w:pPr>
      <w:bookmarkStart w:id="4" w:name="P656"/>
      <w:bookmarkEnd w:id="4"/>
    </w:p>
    <w:p w:rsidR="00A830A8" w:rsidRPr="00F812FA" w:rsidRDefault="008C7398">
      <w:pPr>
        <w:pStyle w:val="ConsPlusTitle0"/>
        <w:jc w:val="center"/>
        <w:outlineLvl w:val="1"/>
      </w:pPr>
      <w:r w:rsidRPr="00F812FA">
        <w:t>Подпрограмма "Благоустройство дворовых территорий</w:t>
      </w:r>
    </w:p>
    <w:p w:rsidR="00A830A8" w:rsidRPr="00F812FA" w:rsidRDefault="008C7398">
      <w:pPr>
        <w:pStyle w:val="ConsPlusTitle0"/>
        <w:jc w:val="center"/>
      </w:pPr>
      <w:r w:rsidRPr="00F812FA">
        <w:t>многоквартирных домов, проездов к дворовым территориям</w:t>
      </w:r>
    </w:p>
    <w:p w:rsidR="00A830A8" w:rsidRPr="00F812FA" w:rsidRDefault="008C7398">
      <w:pPr>
        <w:pStyle w:val="ConsPlusTitle0"/>
        <w:jc w:val="center"/>
      </w:pPr>
      <w:r w:rsidRPr="00F812FA">
        <w:t xml:space="preserve">многоквартирных домов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8C7398">
      <w:pPr>
        <w:pStyle w:val="ConsPlusTitle0"/>
        <w:jc w:val="center"/>
      </w:pPr>
      <w:r w:rsidRPr="00F812FA">
        <w:t>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4)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Отсутствуют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Улучшение эстетического облика, внешнего благоустройства, санитарного состояния дворовых территорий многоквартирных домов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подпрограммы 4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4 за счет всех источников финансирования составит 125323,3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- 31339,5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- 35041,4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- 8942,4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- 50000,0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Объем финансирования муниципальной подпрограммы за счет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составит 48780,5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- 31339,5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- 17441,0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Объем финансирования муниципальной подпрограммы за счет иных источников финансирования 76542,8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- 17600,4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- 8942,4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- 50000,0 тыс., рублей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</w:tr>
      <w:tr w:rsidR="002E671D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Увеличение доли благоустроенных дворовых территорий в общем количестве дворовых территорий многоквартирных домов до 100%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lastRenderedPageBreak/>
        <w:t>1. Характеристика сферы реализации подпрограммы 4,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Дворовые территории являются важнейшей составной частью городской инфраструктуры. От уровня транспортно-эксплуатационного состояния дворовых территорий многоквартирных домов и проездов к ним во многом зависит качество жизни населения. Значительная часть асфальтобетонного покрытия внутриквартальных проездов имеет высокую степень износа, так как срок службы дорожных покрытий истек с момента массовой застройки территории городского округа многоквартирными жилыми домами.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С 1998 года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проводятся работы по комплексному благоустройству улиц и </w:t>
      </w:r>
      <w:proofErr w:type="spellStart"/>
      <w:r w:rsidRPr="00F812FA">
        <w:t>внутридворовых</w:t>
      </w:r>
      <w:proofErr w:type="spellEnd"/>
      <w:r w:rsidRPr="00F812FA">
        <w:t xml:space="preserve"> территорий. Большая часть территории города благоустроена, но вместе с тем остались неблагоустроенные внутриквартальные и </w:t>
      </w:r>
      <w:proofErr w:type="spellStart"/>
      <w:r w:rsidRPr="00F812FA">
        <w:t>внутридворовые</w:t>
      </w:r>
      <w:proofErr w:type="spellEnd"/>
      <w:r w:rsidRPr="00F812FA">
        <w:t xml:space="preserve"> территории, на которых, в том числе, расположены многоквартирные дома ветхого жилищного фонда.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основные проблемы: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высокая степень износа асфальтобетонного покрытия дворовых территорий;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отсутствие у собственников многоквартирных домов финансовой возможности произвести ремонт дворовых территорий за счет собственных средств.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Наряду с существующими проблемами необходимо отметить и положительные моменты развития рассматриваемой сферы: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рост мотивации собственников многоквартирных домов в вопросах бережного отношения к своему имуществу и осознание ответственности за его содержание;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наличие позитивного опыта на территории городского округа по благоустройству дворовых территорий (оборудование детских площадок, приведение внешнего облика в эстетический вид).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Факторы, указывающие на потенциал развития сферы действия подпрограммы: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наличие необходимой нормативно-правовой базы;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- наличие Стратегии социально-экономического развития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до 2025 года, в которой в рамках задачи "Комплексное благоустройство населенных пунктов и развитие общественного транспорта" выделено мероприятие "Развитие дорожно-транспортной инфраструктуры".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Можно сделать вывод, что вышеперечисленные факторы позволят успешно осуществить намеченные подпрограммные мероприятия, направленные на решение проблемы ремонта дворовых территорий многоквартирных домов и проездов к ним в течение запланированного периода 2014 - 2025 годов.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4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Целью подпрограммы 4 является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Подпрограмма 4 рассчитана на 2014 - 2025 годы с разбивкой на два этапа: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I этап: 2014 - 2020 годы;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II этап: 2021 - 2025 годы.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4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Подпрограмма 4 предусматривает осуществление широкого спектра мероприятий, направленных на формирование эстетически выразительной и благоприятной среды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proofErr w:type="gramStart"/>
      <w:r w:rsidRPr="00F812FA">
        <w:t>В рамках решения задачи "Доведение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требований" планируется реализовать основное мероприятие "Благоустройство дворовых территорий", предусматривающее выполнение работ по организации во дворах дорожно-</w:t>
      </w:r>
      <w:proofErr w:type="spellStart"/>
      <w:r w:rsidRPr="00F812FA">
        <w:t>тропиночной</w:t>
      </w:r>
      <w:proofErr w:type="spellEnd"/>
      <w:r w:rsidRPr="00F812FA">
        <w:t xml:space="preserve"> сети, устройству детских 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  <w:proofErr w:type="gramEnd"/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4</w:t>
      </w:r>
    </w:p>
    <w:p w:rsidR="00A830A8" w:rsidRPr="00F812FA" w:rsidRDefault="008C7398">
      <w:pPr>
        <w:pStyle w:val="ConsPlusNormal0"/>
        <w:ind w:firstLine="540"/>
        <w:jc w:val="both"/>
      </w:pPr>
      <w:r w:rsidRPr="00F812FA">
        <w:lastRenderedPageBreak/>
        <w:t>В результате реализации мероприятий подпрограммы 4 к 2025 году планируется увеличение доли благоустроенных дворовых территорий в общем количестве дворовых территорий многоквартирных домов до 100%.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4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Общий объем финансирования подпрограммы 4 за счет всех источников финансирования составит 125323,3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- 31339,5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- 35041,4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- 8942,4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- 50000,0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Объем финансирования муниципальной подпрограммы за счет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составит 48780,5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- 31339,5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2015 год - 17441,0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 финансирования муниципальной подпрограммы за счет иных источников финансирования 76542,8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- 17600,4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- 8942,4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- 50000,0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Объемы финансирования мероприятий подпрограммы 4 ежегодно подлежат уточнению при формировании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на очередной финансовый год и плановый период.</w:t>
      </w: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jc w:val="right"/>
        <w:outlineLvl w:val="1"/>
      </w:pPr>
      <w:r w:rsidRPr="00F812FA">
        <w:t>Приложение N 1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Normal0"/>
        <w:jc w:val="right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bookmarkStart w:id="5" w:name="P763"/>
      <w:bookmarkEnd w:id="5"/>
      <w:r w:rsidRPr="00F812FA">
        <w:t>Система основных мероприятий (мероприятий) и показателей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 "Развитие автомобильных дорог общего</w:t>
      </w:r>
    </w:p>
    <w:p w:rsidR="00A830A8" w:rsidRPr="00F812FA" w:rsidRDefault="008C7398">
      <w:pPr>
        <w:pStyle w:val="ConsPlusTitle0"/>
        <w:jc w:val="center"/>
      </w:pPr>
      <w:r w:rsidRPr="00F812FA">
        <w:t xml:space="preserve">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Title0"/>
        <w:jc w:val="center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sectPr w:rsidR="00A830A8" w:rsidRPr="00F812FA">
          <w:headerReference w:type="first" r:id="rId13"/>
          <w:footerReference w:type="first" r:id="rId1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517"/>
        <w:gridCol w:w="2659"/>
        <w:gridCol w:w="3436"/>
        <w:gridCol w:w="904"/>
        <w:gridCol w:w="904"/>
        <w:gridCol w:w="784"/>
        <w:gridCol w:w="784"/>
        <w:gridCol w:w="784"/>
        <w:gridCol w:w="784"/>
        <w:gridCol w:w="760"/>
      </w:tblGrid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подпрограмм, основных мероприятий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436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показателя, единица измерения</w:t>
            </w:r>
          </w:p>
        </w:tc>
        <w:tc>
          <w:tcPr>
            <w:tcW w:w="5704" w:type="dxa"/>
            <w:gridSpan w:val="7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Значение показателя конечного и непосредственного результатов по годам реализации I этапа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2014 год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2015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2016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2017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2018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2019 год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2020 год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</w:t>
            </w:r>
          </w:p>
        </w:tc>
      </w:tr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политики), МКУ "Управление капитального строительства",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населенных пунктов, обеспеченных подъездными дорогами с твердым покрытием,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90 </w:t>
            </w:r>
            <w:hyperlink w:anchor="P987" w:tooltip="Примечание: &lt;*&gt; - исходя из фактических данных">
              <w:r w:rsidRPr="00F812FA">
                <w:t>&lt;*&gt;</w:t>
              </w:r>
            </w:hyperlink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90,59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90,59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81,60 &lt;*&gt;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82,89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82,4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84,6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сети,%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5.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87,5 </w:t>
            </w:r>
            <w:hyperlink w:anchor="P987" w:tooltip="Примечание: &lt;*&gt; - исходя из фактических данных">
              <w:r w:rsidRPr="00F812FA">
                <w:t>&lt;*&gt;</w:t>
              </w:r>
            </w:hyperlink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  <w:p w:rsidR="00A830A8" w:rsidRPr="00F812FA" w:rsidRDefault="008C7398">
            <w:pPr>
              <w:pStyle w:val="ConsPlusNormal0"/>
            </w:pPr>
            <w:r w:rsidRPr="00F812FA">
              <w:lastRenderedPageBreak/>
              <w:t xml:space="preserve">"Строительство (реконструкция) подъездных дорог с твердым покрытием к населенным пунктам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 xml:space="preserve">МКУ "Управление </w:t>
            </w:r>
            <w:r w:rsidRPr="00F812FA">
              <w:lastRenderedPageBreak/>
              <w:t>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Показатель 1.1.</w:t>
            </w:r>
          </w:p>
          <w:p w:rsidR="00A830A8" w:rsidRPr="00F812FA" w:rsidRDefault="008C7398">
            <w:pPr>
              <w:pStyle w:val="ConsPlusNormal0"/>
            </w:pPr>
            <w:r w:rsidRPr="00F812FA"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шт.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2.1.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2.1.1.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</w:t>
            </w:r>
          </w:p>
          <w:p w:rsidR="00A830A8" w:rsidRPr="00F812FA" w:rsidRDefault="008C7398">
            <w:pPr>
              <w:pStyle w:val="ConsPlusNormal0"/>
            </w:pPr>
            <w:r w:rsidRPr="00F812FA">
              <w:t>"Строительство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Протяженность построенных подъездных дорог с твердым покрытием к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2,163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2,490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11,01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12,35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4,3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4,441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 xml:space="preserve">Задача 2.1. Улучшение транспортно-эксплуатационных характеристик и потребительских </w:t>
            </w:r>
            <w:proofErr w:type="gramStart"/>
            <w:r w:rsidRPr="00F812FA">
              <w:t>свойств</w:t>
            </w:r>
            <w:proofErr w:type="gramEnd"/>
            <w:r w:rsidRPr="00F812FA">
              <w:t xml:space="preserve"> автомобильных дорог с целью снижения транспортных издержек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3.1.1.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"Капитальный ремонт дорог по сельским населенным пунктам </w:t>
            </w:r>
            <w:r w:rsidRPr="00F812FA">
              <w:lastRenderedPageBreak/>
              <w:t>городского округа"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по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7,91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2,8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3.1.2.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</w:t>
            </w:r>
          </w:p>
          <w:p w:rsidR="00A830A8" w:rsidRPr="00F812FA" w:rsidRDefault="008C7398">
            <w:pPr>
              <w:pStyle w:val="ConsPlusNormal0"/>
            </w:pPr>
            <w:r w:rsidRPr="00F812FA">
              <w:t>"Капитальный ремонт дорог в г. Губкине"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в г. Губкине,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1,5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4,441</w:t>
            </w:r>
          </w:p>
        </w:tc>
      </w:tr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МКУ "Управление капитального строительства",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82,4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84,6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3.2.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сети,%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4.1.2.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3.1</w:t>
            </w:r>
          </w:p>
          <w:p w:rsidR="00A830A8" w:rsidRPr="00F812FA" w:rsidRDefault="008C7398">
            <w:pPr>
              <w:pStyle w:val="ConsPlusNormal0"/>
            </w:pPr>
            <w:r w:rsidRPr="00F812FA">
              <w:t>"Содержание и ремонт автомобильных дорог общего пользования местного значения"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убираемой территории,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1266,7 </w:t>
            </w:r>
            <w:hyperlink w:anchor="P987" w:tooltip="Примечание: &lt;*&gt; - исходя из фактических данных">
              <w:r w:rsidRPr="00F812FA">
                <w:t>&lt;*&gt;</w:t>
              </w:r>
            </w:hyperlink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1300,5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1322,1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1337,4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1352,8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3.1.2.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территории, убираемой механизированным способом,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760,0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845,3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925,4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949,6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974,0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998,8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998,8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87,5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5.1.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>Задача 4.1.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2E671D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5.1.1.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</w:t>
            </w:r>
          </w:p>
          <w:p w:rsidR="00A830A8" w:rsidRPr="00F812FA" w:rsidRDefault="008C7398">
            <w:pPr>
              <w:pStyle w:val="ConsPlusNormal0"/>
            </w:pPr>
            <w:r w:rsidRPr="00F812FA">
              <w:t>"Благоустройство дворовых территорий"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Количество капитально отремонтированных придомовых территорий и проездов к дворовым территориям многоквартирных домов, ед.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27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bookmarkStart w:id="6" w:name="P987"/>
      <w:bookmarkEnd w:id="6"/>
      <w:r w:rsidRPr="00F812FA">
        <w:t>Примечание: &lt;*&gt; - исходя из фактических данных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4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942"/>
        <w:gridCol w:w="3207"/>
        <w:gridCol w:w="3969"/>
        <w:gridCol w:w="784"/>
        <w:gridCol w:w="784"/>
        <w:gridCol w:w="784"/>
        <w:gridCol w:w="784"/>
        <w:gridCol w:w="861"/>
      </w:tblGrid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подпрограмм, основных мероприятий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96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показателя, единица измерения</w:t>
            </w:r>
          </w:p>
        </w:tc>
        <w:tc>
          <w:tcPr>
            <w:tcW w:w="3997" w:type="dxa"/>
            <w:gridSpan w:val="5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Значение показателя конечного и непосредственного результатов по годам реализации II этапа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2021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2022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2023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2024 год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2025 год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политики),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МКУ "Управление капитального строительства",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населенных пунктов, обеспеченных подъездными дорогами с твердым покрытием,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97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85,01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85,78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88,50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89,90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90,44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5.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</w:t>
            </w:r>
          </w:p>
          <w:p w:rsidR="00A830A8" w:rsidRPr="00F812FA" w:rsidRDefault="008C7398">
            <w:pPr>
              <w:pStyle w:val="ConsPlusNormal0"/>
            </w:pPr>
            <w:r w:rsidRPr="00F812FA"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шт.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1.2.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16,329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2,210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20,385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8,075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6,465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>Задача 1.1. Обеспечение круглогодичной транспортной доступности населенных пунктов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2.2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</w:t>
            </w:r>
          </w:p>
          <w:p w:rsidR="00A830A8" w:rsidRPr="00F812FA" w:rsidRDefault="008C7398">
            <w:pPr>
              <w:pStyle w:val="ConsPlusNormal0"/>
            </w:pPr>
            <w:r w:rsidRPr="00F812FA">
              <w:t>"Строительство (реконструкция) автомобильных дорог общего пользования местного значения с твердым покрытием"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 имеющих твердое покрытие, в результате строительства новых автомобильных дорог,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16,329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2,210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20,385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8,075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6,465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2.3.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1.1.1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"Строительство (реконструкция) автомобильных дорог общего пользования местного значения с твердым покрытием до сельских населенных пунктов, не </w:t>
            </w:r>
            <w:r w:rsidRPr="00F812FA">
              <w:lastRenderedPageBreak/>
              <w:t>имеющих круглогодичной связи с сетью автомобильных дорог общего пользования"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построенных подъездных дорог с твердым покрытием к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0,968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6,893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3,660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3,890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2.4.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1.1.2</w:t>
            </w:r>
          </w:p>
          <w:p w:rsidR="00A830A8" w:rsidRPr="00F812FA" w:rsidRDefault="008C7398">
            <w:pPr>
              <w:pStyle w:val="ConsPlusNormal0"/>
            </w:pPr>
            <w:r w:rsidRPr="00F812FA">
              <w:t>"Строительство автомобильных дорог общего пользования местного значения в населенных пунктах"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построенных автомобильных дорог с твердым покрытием по улично-дорожной сети населенных пунктов,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16,329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1,242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13,492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4,415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2,575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2.5.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1.1.3</w:t>
            </w:r>
          </w:p>
          <w:p w:rsidR="00A830A8" w:rsidRPr="00F812FA" w:rsidRDefault="008C7398">
            <w:pPr>
              <w:pStyle w:val="ConsPlusNormal0"/>
            </w:pPr>
            <w:r w:rsidRPr="00F812FA">
              <w:t>"Проектно-изыскательские работы"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1.1.3.1.</w:t>
            </w:r>
          </w:p>
          <w:p w:rsidR="00A830A8" w:rsidRPr="00F812FA" w:rsidRDefault="008C7398">
            <w:pPr>
              <w:pStyle w:val="ConsPlusNormal0"/>
            </w:pPr>
            <w:r w:rsidRPr="00F812FA">
              <w:t>Количество изготовленной проектно-сметной документации на строительство автодорог, шт.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9,297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6,985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12,259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8,81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 xml:space="preserve">Задача 2.1. Улучшение транспортно-эксплуатационных характеристик и потребительских </w:t>
            </w:r>
            <w:proofErr w:type="gramStart"/>
            <w:r w:rsidRPr="00F812FA">
              <w:t>свойств</w:t>
            </w:r>
            <w:proofErr w:type="gramEnd"/>
            <w:r w:rsidRPr="00F812FA">
              <w:t xml:space="preserve"> автомобильных дорог с целью снижения транспортных издержек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3.1.1.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</w:t>
            </w:r>
          </w:p>
          <w:p w:rsidR="00A830A8" w:rsidRPr="00F812FA" w:rsidRDefault="008C7398">
            <w:pPr>
              <w:pStyle w:val="ConsPlusNormal0"/>
            </w:pPr>
            <w:r w:rsidRPr="00F812FA">
              <w:t>"Капитальный ремонт автомобильных дорог по сельским населенным пунктам городского округа"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по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0,220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0,200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3.1.2.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</w:t>
            </w:r>
          </w:p>
          <w:p w:rsidR="00A830A8" w:rsidRPr="00F812FA" w:rsidRDefault="008C7398">
            <w:pPr>
              <w:pStyle w:val="ConsPlusNormal0"/>
            </w:pPr>
            <w:r w:rsidRPr="00F812FA">
              <w:t>"Капитальный ремонт автомобильных дорог в г. Губкине"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в г. Губкине,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9,077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6,785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12,259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8,81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МКУ "Управление капитального строительства", сельские </w:t>
            </w:r>
            <w:r w:rsidRPr="00F812FA">
              <w:lastRenderedPageBreak/>
              <w:t xml:space="preserve">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Показатель 3.1.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3.2.</w:t>
            </w:r>
          </w:p>
          <w:p w:rsidR="00A830A8" w:rsidRPr="00F812FA" w:rsidRDefault="008C7398">
            <w:pPr>
              <w:pStyle w:val="ConsPlusNormal0"/>
            </w:pPr>
            <w:r w:rsidRPr="00F812FA">
              <w:lastRenderedPageBreak/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4.1.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4.1.2.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3.1</w:t>
            </w:r>
          </w:p>
          <w:p w:rsidR="00A830A8" w:rsidRPr="00F812FA" w:rsidRDefault="008C7398">
            <w:pPr>
              <w:pStyle w:val="ConsPlusNormal0"/>
            </w:pPr>
            <w:r w:rsidRPr="00F812FA">
              <w:t>"Содержание и ремонт автомобильных дорог общего пользования местного значения"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МКУ "Управление капитального строительства",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убираемой территории,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1383,5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3.1.2.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территории, убираемой механизированным способом,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1023,8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>Задача 4.1.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5.1.1.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</w:t>
            </w:r>
          </w:p>
          <w:p w:rsidR="00A830A8" w:rsidRPr="00F812FA" w:rsidRDefault="008C7398">
            <w:pPr>
              <w:pStyle w:val="ConsPlusNormal0"/>
            </w:pPr>
            <w:r w:rsidRPr="00F812FA">
              <w:t>"Благоустройство дворовых территорий"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Количество капитально отремонтированных придомовых территорий и проездов к дворовым территориям многоквартирных домов, ед.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39</w:t>
            </w:r>
          </w:p>
        </w:tc>
      </w:tr>
    </w:tbl>
    <w:p w:rsidR="00A830A8" w:rsidRPr="00F812FA" w:rsidRDefault="00A830A8">
      <w:pPr>
        <w:pStyle w:val="ConsPlusNormal0"/>
        <w:sectPr w:rsidR="00A830A8" w:rsidRPr="00F812FA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Pr="00F812FA" w:rsidRDefault="008C7398" w:rsidP="00EA0DC1">
      <w:pPr>
        <w:pStyle w:val="ConsPlusNormal0"/>
        <w:ind w:left="10620" w:firstLine="708"/>
        <w:outlineLvl w:val="1"/>
      </w:pPr>
      <w:r w:rsidRPr="00F812FA">
        <w:lastRenderedPageBreak/>
        <w:t>Приложение N 2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Normal0"/>
        <w:jc w:val="right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Ресурсное обеспечение и прогнозная (справочная) оценка</w:t>
      </w:r>
    </w:p>
    <w:p w:rsidR="00A830A8" w:rsidRPr="00F812FA" w:rsidRDefault="008C7398">
      <w:pPr>
        <w:pStyle w:val="ConsPlusTitle0"/>
        <w:jc w:val="center"/>
      </w:pPr>
      <w:r w:rsidRPr="00F812FA">
        <w:t>расходов на реализацию основных мероприятий (мероприятий)</w:t>
      </w:r>
    </w:p>
    <w:p w:rsidR="00A830A8" w:rsidRPr="00F812FA" w:rsidRDefault="008C7398">
      <w:pPr>
        <w:pStyle w:val="ConsPlusTitle0"/>
        <w:jc w:val="center"/>
      </w:pPr>
      <w:r w:rsidRPr="00F812FA">
        <w:t xml:space="preserve">муниципальной программы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8C7398">
      <w:pPr>
        <w:pStyle w:val="ConsPlusTitle0"/>
        <w:jc w:val="center"/>
      </w:pPr>
      <w:r w:rsidRPr="00F812FA">
        <w:t>Белгородской области из различных источников финансирования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668"/>
        <w:gridCol w:w="2835"/>
        <w:gridCol w:w="964"/>
        <w:gridCol w:w="964"/>
        <w:gridCol w:w="1084"/>
        <w:gridCol w:w="1084"/>
        <w:gridCol w:w="1084"/>
        <w:gridCol w:w="1084"/>
        <w:gridCol w:w="1084"/>
      </w:tblGrid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Источник финансирования</w:t>
            </w:r>
          </w:p>
        </w:tc>
        <w:tc>
          <w:tcPr>
            <w:tcW w:w="7348" w:type="dxa"/>
            <w:gridSpan w:val="7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Расходы на I этап реализации программы (тыс. руб.), годы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2668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89 712,9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99 739,4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166 659,6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135 545,4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225 516,6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299 313,0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ГГО)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89 712,9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82 139,0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119 823,4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104 918,7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122 566,0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15 722,0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64 437,9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108 377,0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56 160,0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17 600,4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63 500,0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Подпрограмма 1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Строительство (реконструкция) подъездных дорог с твердым покрытием к населенным пунктам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15 739,0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86 860,0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11 116,0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15 722,0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75 744,0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15 739,0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86 860,0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11 116,0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15 722,0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75 744,0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54 557,6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84 597,9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116 059,0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15 056,0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28 437,9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32 633,0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56 160,0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54 557,6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по сельским населенным пунктам городского округа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7 830,6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40 357,9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13 566,9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26 791,0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7 830,6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в том числе</w:t>
            </w:r>
          </w:p>
          <w:p w:rsidR="00A830A8" w:rsidRPr="00F812FA" w:rsidRDefault="008C7398">
            <w:pPr>
              <w:pStyle w:val="ConsPlusNormal0"/>
            </w:pPr>
            <w:r w:rsidRPr="00F812FA">
              <w:t>по федеральному проекту "Дорожная сеть"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40 357,9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13 566,9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26 791,0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в г. Губкине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46 727,0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44 240,0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116 059,0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15 056,0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14 871,0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32 633,0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29 369,0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46 727,0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в том числе</w:t>
            </w:r>
          </w:p>
          <w:p w:rsidR="00A830A8" w:rsidRPr="00F812FA" w:rsidRDefault="008C7398">
            <w:pPr>
              <w:pStyle w:val="ConsPlusNormal0"/>
            </w:pPr>
            <w:r w:rsidRPr="00F812FA">
              <w:t>по федеральному проекту "Дорожная сеть"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44 240,0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77 693,0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14 871,0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9 323,0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29 369,0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3.1.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35 041,4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17 600,4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Благоустройство дворовых территорий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35 041,4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17 600,4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</w:tbl>
    <w:p w:rsidR="00A830A8" w:rsidRPr="00F812FA" w:rsidRDefault="00A830A8">
      <w:pPr>
        <w:pStyle w:val="ConsPlusNormal0"/>
        <w:sectPr w:rsidR="00A830A8" w:rsidRPr="00F812FA">
          <w:headerReference w:type="default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Default="008C7398" w:rsidP="00FF079B">
      <w:pPr>
        <w:pStyle w:val="ConsPlusTitle0"/>
        <w:jc w:val="center"/>
        <w:outlineLvl w:val="2"/>
      </w:pPr>
      <w:r w:rsidRPr="00F812FA">
        <w:lastRenderedPageBreak/>
        <w:t>II этап реализации муниципальной программы</w:t>
      </w:r>
    </w:p>
    <w:p w:rsidR="00420F70" w:rsidRPr="00F812FA" w:rsidRDefault="00420F70" w:rsidP="00FF079B">
      <w:pPr>
        <w:pStyle w:val="ConsPlusTitle0"/>
        <w:jc w:val="center"/>
        <w:outlineLvl w:val="2"/>
      </w:pPr>
      <w:bookmarkStart w:id="7" w:name="_GoBack"/>
      <w:bookmarkEnd w:id="7"/>
    </w:p>
    <w:p w:rsidR="00A830A8" w:rsidRPr="00F812FA" w:rsidRDefault="00A830A8">
      <w:pPr>
        <w:pStyle w:val="ConsPlusNormal0"/>
        <w:jc w:val="both"/>
      </w:pPr>
    </w:p>
    <w:tbl>
      <w:tblPr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4536"/>
        <w:gridCol w:w="2268"/>
        <w:gridCol w:w="1204"/>
        <w:gridCol w:w="1084"/>
        <w:gridCol w:w="1084"/>
        <w:gridCol w:w="1084"/>
        <w:gridCol w:w="1084"/>
      </w:tblGrid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Источник финансирования</w:t>
            </w:r>
          </w:p>
        </w:tc>
        <w:tc>
          <w:tcPr>
            <w:tcW w:w="5540" w:type="dxa"/>
            <w:gridSpan w:val="5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Оценка расходов на II этап реализации программы (тыс. руб.), годы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2021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2025</w:t>
            </w:r>
          </w:p>
        </w:tc>
      </w:tr>
      <w:tr w:rsidR="00F812FA" w:rsidRPr="00F812FA" w:rsidTr="00EA0DC1">
        <w:tc>
          <w:tcPr>
            <w:tcW w:w="21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453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479 680,55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468 176,8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517 942,0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356 037,0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261 739,0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257 993,55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213 626,6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183 618,0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146 059,0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221 687,0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229 850,2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145 524,0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24 700,0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188 800,0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67 050,0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103 600,0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123 358,4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61 400,0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196 707,0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72 050,0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53 600,0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91 163,4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3 240,0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32 195,0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33 460,0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24 700,0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188 800,0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67 050,0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53 600.0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123 358,4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61 400,0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196 707,0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72 050,0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53 600.0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91 163,4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3 240,0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32 195,0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33 460,0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24 700,0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188 800.0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67 050,0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53 600.0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1.1.1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39 200,0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65 000,0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30 350,0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32 100,0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1 160,0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13 340,0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24 700,0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65 000,0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30 350,0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32 100,0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1.1.2.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автомобильных дорог общего пользования местного значения в населенных пунктах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123 358,4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123 800,0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36 700,0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21 500,0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91 163,4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32 195,0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10 120,0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123 800,0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36 700,0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21 500,0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1.1.3.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Проектно-изыскательские работы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11 200,0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1 200,0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Подпрограмма 2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220 475,55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195 882,0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169 524,0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39 183,557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4 626,0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181 292,0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191 256,0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145 524,0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2 311,2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1 569,0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2 311,2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126,0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1 443,0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автомобильных дорог в г. Губкине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218 164,35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194 313,0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169 524,0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36 872,357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4 500.0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181 292,0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189 813,0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145 524,0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в том числе</w:t>
            </w:r>
          </w:p>
          <w:p w:rsidR="00A830A8" w:rsidRPr="00F812FA" w:rsidRDefault="008C7398">
            <w:pPr>
              <w:pStyle w:val="ConsPlusNormal0"/>
            </w:pPr>
            <w:r w:rsidRPr="00F812FA">
              <w:t>по федеральному проекту "Дорожная сеть"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167 492,0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189 813,0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145 524,0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167 492,0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189 813,0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145 524,0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142 928,0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Подпрограмма 3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135 846,6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210 894,8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151 711,0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141 059,0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127 646,6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205 760,6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151 711,0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141 059,0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8 200,0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5 134,2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3.1.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135 846,6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210 894,8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151 711,0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141 059,0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127 646,6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205 760,6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151 711,0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141 059,0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8 200,0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5 134,2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50 000,0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50 000,0</w:t>
            </w:r>
          </w:p>
        </w:tc>
      </w:tr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4.1.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Благоустройство дворовых территорий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50 000,0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50 000,0</w:t>
            </w:r>
          </w:p>
        </w:tc>
      </w:tr>
    </w:tbl>
    <w:p w:rsidR="00A830A8" w:rsidRPr="00F812FA" w:rsidRDefault="00EA0DC1">
      <w:pPr>
        <w:pStyle w:val="ConsPlusNormal0"/>
        <w:sectPr w:rsidR="00A830A8" w:rsidRPr="00F812FA">
          <w:headerReference w:type="default" r:id="rId23"/>
          <w:footerReference w:type="default" r:id="rId24"/>
          <w:headerReference w:type="first" r:id="rId25"/>
          <w:footerReference w:type="first" r:id="rId26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  <w:r w:rsidRPr="00F812FA">
        <w:tab/>
      </w:r>
      <w:r w:rsidRPr="00F812FA">
        <w:tab/>
      </w:r>
    </w:p>
    <w:p w:rsidR="00A830A8" w:rsidRPr="00F812FA" w:rsidRDefault="00EA0DC1" w:rsidP="00EA0DC1">
      <w:pPr>
        <w:pStyle w:val="ConsPlusNormal0"/>
        <w:outlineLvl w:val="1"/>
      </w:pPr>
      <w:r w:rsidRPr="00F812FA"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8C7398" w:rsidRPr="00F812FA">
        <w:t>Приложение N 3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Normal0"/>
        <w:jc w:val="right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Ресурсное обеспечение реализации муниципальной программы</w:t>
      </w:r>
    </w:p>
    <w:p w:rsidR="00A830A8" w:rsidRPr="00F812FA" w:rsidRDefault="008C7398">
      <w:pPr>
        <w:pStyle w:val="ConsPlusTitle0"/>
        <w:jc w:val="center"/>
      </w:pPr>
      <w:r w:rsidRPr="00F812FA">
        <w:t>"Развитие автомобильных дорог общего пользования местного</w:t>
      </w:r>
    </w:p>
    <w:p w:rsidR="00A830A8" w:rsidRPr="00F812FA" w:rsidRDefault="008C7398">
      <w:pPr>
        <w:pStyle w:val="ConsPlusTitle0"/>
        <w:jc w:val="center"/>
      </w:pPr>
      <w:r w:rsidRPr="00F812FA">
        <w:t xml:space="preserve">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</w:t>
      </w:r>
    </w:p>
    <w:p w:rsidR="00A830A8" w:rsidRPr="00F812FA" w:rsidRDefault="008C7398">
      <w:pPr>
        <w:pStyle w:val="ConsPlusTitle0"/>
        <w:jc w:val="center"/>
      </w:pPr>
      <w:r w:rsidRPr="00F812FA">
        <w:t xml:space="preserve">за счет средств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1984"/>
        <w:gridCol w:w="2526"/>
        <w:gridCol w:w="694"/>
        <w:gridCol w:w="866"/>
        <w:gridCol w:w="964"/>
        <w:gridCol w:w="964"/>
        <w:gridCol w:w="1084"/>
        <w:gridCol w:w="1084"/>
        <w:gridCol w:w="1084"/>
        <w:gridCol w:w="1084"/>
        <w:gridCol w:w="965"/>
      </w:tblGrid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подпрограммы, основного мероприятия</w:t>
            </w:r>
          </w:p>
        </w:tc>
        <w:tc>
          <w:tcPr>
            <w:tcW w:w="2526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участники</w:t>
            </w:r>
          </w:p>
        </w:tc>
        <w:tc>
          <w:tcPr>
            <w:tcW w:w="1560" w:type="dxa"/>
            <w:gridSpan w:val="2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Код бюджетной классификации</w:t>
            </w:r>
          </w:p>
        </w:tc>
        <w:tc>
          <w:tcPr>
            <w:tcW w:w="7229" w:type="dxa"/>
            <w:gridSpan w:val="7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Расходы на I этап реализации программы (тыс. рублей), годы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ГРБС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КЦСР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2019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89 712,9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82 139,0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119 823,4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104 918,7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122 566,0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Строительство (реконструкция) подъездных дорог с твердым покрытием к населенным пунктам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11 116,0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1.1.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"Строительство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252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11101S2110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2 320,0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2 700,0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6 096,0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15 056,0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2.1.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по сельским населенным пунктам городского округа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2.2.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в г. Губкине</w:t>
            </w:r>
          </w:p>
        </w:tc>
        <w:tc>
          <w:tcPr>
            <w:tcW w:w="252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11202S2140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3 331,0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1120225030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11 725,0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Содержание </w:t>
            </w:r>
            <w:r w:rsidRPr="00F812FA">
              <w:lastRenderedPageBreak/>
              <w:t xml:space="preserve">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Управление жилищно-</w:t>
            </w:r>
            <w:r w:rsidRPr="00F812FA">
              <w:lastRenderedPageBreak/>
              <w:t>коммунального комплекса и систем жизнеобеспечения, МКУ "Управление капитального строительства", сельские территориальные администрации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X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3.1.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891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51 534,5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59 706,0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68 985,8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63 440,0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73 094,2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70 477,0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67 343,0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3 277,8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28 738,6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34 363,0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40 336,0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21 421,3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23 685,0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922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52,5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137,6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Боброводворская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923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326,0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197,0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924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139,7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74,3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Вислодубравская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126,5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933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129,1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Истобнянская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926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62,3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34,7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Коньшинская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927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23,0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249,8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173.0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Мелавская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936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41,9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161,0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Никаноровская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928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48,0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31,4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Осколецкая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931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151,8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Сапрыкинская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934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168,0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939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24,7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115,3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Скороднянская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929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968,2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1 061,0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1 074,3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1 052,0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1 181,0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1 100,2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Теплоколодезянская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64.0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Толстянская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937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54,6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932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2 373,0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2 608,0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3 143,0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3 168,8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3 388,6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3 106,0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Уколовская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938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148,3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123,9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Чуевская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930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128,0,0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118.0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940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112,5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2E671D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4.1.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>Благоустройство дворовых территорий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1140126090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093"/>
        <w:gridCol w:w="2268"/>
        <w:gridCol w:w="694"/>
        <w:gridCol w:w="1519"/>
        <w:gridCol w:w="1204"/>
        <w:gridCol w:w="1084"/>
        <w:gridCol w:w="1084"/>
        <w:gridCol w:w="1084"/>
        <w:gridCol w:w="1084"/>
      </w:tblGrid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участники</w:t>
            </w:r>
          </w:p>
        </w:tc>
        <w:tc>
          <w:tcPr>
            <w:tcW w:w="2213" w:type="dxa"/>
            <w:gridSpan w:val="2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Код бюджетной классификации</w:t>
            </w:r>
          </w:p>
        </w:tc>
        <w:tc>
          <w:tcPr>
            <w:tcW w:w="5540" w:type="dxa"/>
            <w:gridSpan w:val="5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Оценка расходов на II этап реализации программы (тыс. рублей), годы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ГРБС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КЦСР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2021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2025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257 993,55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213 626,6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183 618,0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146 059,0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Строительство (реконструкция) </w:t>
            </w:r>
            <w:r w:rsidRPr="00F812FA">
              <w:lastRenderedPageBreak/>
              <w:t xml:space="preserve">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 xml:space="preserve">МКУ "Управление </w:t>
            </w:r>
            <w:r w:rsidRPr="00F812FA">
              <w:lastRenderedPageBreak/>
              <w:t>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91 163,4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3 240,0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1.1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1110100000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91 163,4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3 240,0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77 681,0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1 200,0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111012012N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2 266,0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11101S012N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742,0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111012012P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971,5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11101S012P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280,0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111012012L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8 550,4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11101S012L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672,5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120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2 040,0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1.1.1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1 160,0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1.1.2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автомобильных дорог общего пользования местного значения в населенных пунктах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1110100000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91 163,4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880,0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77 681,0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111012012N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2 266,0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11101S012N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742,0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111012012P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971,5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11101S012P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280,0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111012012L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8 550,4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11101S012L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672,5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120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880,0</w:t>
            </w: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1.1.3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</w:pPr>
            <w:r w:rsidRPr="00F812FA">
              <w:t>Проектно-изыскательские работы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1 200,0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7 907,0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5 000,0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39 183,557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4 626,0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24 000,0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1120125020</w:t>
            </w:r>
          </w:p>
        </w:tc>
        <w:tc>
          <w:tcPr>
            <w:tcW w:w="120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2 311,2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11201S2140</w:t>
            </w:r>
          </w:p>
        </w:tc>
        <w:tc>
          <w:tcPr>
            <w:tcW w:w="120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126,0</w:t>
            </w: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автомобильных дорог в г. Губкине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1120200000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36 872,357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4 500,0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24 000,0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11202S2140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1 200,0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1120225030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35 672,357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4 500,0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24 000,0</w:t>
            </w: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Управление жилищно-коммунального комплекса и систем жизнеобеспечения, МКУ "Управление капитального строительства",</w:t>
            </w:r>
          </w:p>
          <w:p w:rsidR="00A830A8" w:rsidRPr="00F812FA" w:rsidRDefault="008C7398">
            <w:pPr>
              <w:pStyle w:val="ConsPlusNormal0"/>
            </w:pPr>
            <w:r w:rsidRPr="00F812FA">
              <w:t>сельские территориальные администрации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127 646,6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205 760,6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151 711,0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141 059,0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158 139,0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3.1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891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1130100000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93 577,0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117 959,2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90 185,0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90 185,0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75 738,0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93 577,0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117 945,0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90 185.0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90 185,0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75 738,0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11301S0306</w:t>
            </w:r>
          </w:p>
        </w:tc>
        <w:tc>
          <w:tcPr>
            <w:tcW w:w="120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14,2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1130100000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27 263,0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80 993,7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54 700,0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44 048,0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77 014.0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26 796,9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80 737,6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54 700.0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44 048,0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77 014,0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113012012R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11301S012R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34,9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113012012Q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0,4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11301S012Q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396,8</w:t>
            </w: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11301S0308</w:t>
            </w:r>
          </w:p>
        </w:tc>
        <w:tc>
          <w:tcPr>
            <w:tcW w:w="120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77,0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11301S0320</w:t>
            </w:r>
          </w:p>
        </w:tc>
        <w:tc>
          <w:tcPr>
            <w:tcW w:w="120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179,1</w:t>
            </w: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  <w:vMerge/>
          </w:tcPr>
          <w:p w:rsidR="00A830A8" w:rsidRPr="00F812FA" w:rsidRDefault="00A830A8">
            <w:pPr>
              <w:pStyle w:val="ConsPlusNormal0"/>
            </w:pP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922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Боброводворская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923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217,0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924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Вислодубравская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933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Истобнянская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926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Коньшинская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927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Мелавская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936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Никаноровская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928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Осколецкая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931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Сапрыкинская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934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155,3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191,5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939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Скороднянская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929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962,2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967,0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Теплоколодезянская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935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Толстянская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937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28,5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932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4 000,8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4 056,0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4 056,0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4 056,0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3 100,0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Уколовская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938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Чуевская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930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</w:pPr>
            <w:r w:rsidRPr="00F812FA"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940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</w:tbl>
    <w:p w:rsidR="00A830A8" w:rsidRPr="00F812FA" w:rsidRDefault="00A830A8">
      <w:pPr>
        <w:pStyle w:val="ConsPlusNormal0"/>
        <w:sectPr w:rsidR="00A830A8" w:rsidRPr="00F812FA">
          <w:headerReference w:type="default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Pr="00F812FA" w:rsidRDefault="008C7398" w:rsidP="00EA0DC1">
      <w:pPr>
        <w:pStyle w:val="ConsPlusNormal0"/>
        <w:ind w:left="10620" w:firstLine="708"/>
        <w:outlineLvl w:val="1"/>
      </w:pPr>
      <w:r w:rsidRPr="00F812FA">
        <w:lastRenderedPageBreak/>
        <w:t>Приложение N 4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Normal0"/>
        <w:jc w:val="right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Сведения</w:t>
      </w:r>
    </w:p>
    <w:p w:rsidR="00A830A8" w:rsidRPr="00F812FA" w:rsidRDefault="008C7398">
      <w:pPr>
        <w:pStyle w:val="ConsPlusTitle0"/>
        <w:jc w:val="center"/>
      </w:pPr>
      <w:r w:rsidRPr="00F812FA">
        <w:t>о методике расчета показателей конечного результата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 "Развитие автомобильных дорог общего</w:t>
      </w:r>
    </w:p>
    <w:p w:rsidR="00A830A8" w:rsidRPr="00F812FA" w:rsidRDefault="008C7398" w:rsidP="004E215C">
      <w:pPr>
        <w:pStyle w:val="ConsPlusTitle0"/>
        <w:jc w:val="center"/>
      </w:pPr>
      <w:r w:rsidRPr="00F812FA">
        <w:t xml:space="preserve">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  <w:r w:rsidR="004E215C" w:rsidRPr="00F812FA">
        <w:t xml:space="preserve"> </w:t>
      </w:r>
      <w:r w:rsidRPr="00F812FA">
        <w:t>Белгородской области"</w:t>
      </w:r>
    </w:p>
    <w:p w:rsidR="00A830A8" w:rsidRPr="00F812FA" w:rsidRDefault="00A830A8">
      <w:pPr>
        <w:pStyle w:val="ConsPlusNormal0"/>
        <w:jc w:val="both"/>
      </w:pPr>
    </w:p>
    <w:tbl>
      <w:tblPr>
        <w:tblpPr w:leftFromText="180" w:rightFromText="180" w:vertAnchor="text" w:tblpY="1"/>
        <w:tblOverlap w:val="never"/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853"/>
        <w:gridCol w:w="567"/>
        <w:gridCol w:w="4535"/>
        <w:gridCol w:w="2835"/>
        <w:gridCol w:w="1714"/>
      </w:tblGrid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Наименование показателя конечного результата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Ед. изм.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Алгоритм формирования (формула) и методологические пояснения к показателю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Метод сбора информации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Временные характеристики показателя</w:t>
            </w:r>
          </w:p>
        </w:tc>
      </w:tr>
      <w:tr w:rsidR="00F812FA" w:rsidRPr="00F812FA" w:rsidTr="004E215C">
        <w:trPr>
          <w:trHeight w:val="269"/>
        </w:trPr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6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Align w:val="bottom"/>
          </w:tcPr>
          <w:p w:rsidR="00A830A8" w:rsidRPr="00F812FA" w:rsidRDefault="008C7398" w:rsidP="002A6923">
            <w:pPr>
              <w:pStyle w:val="ConsPlusNormal0"/>
            </w:pPr>
            <w:r w:rsidRPr="00F812FA">
              <w:t>Муниципальная программа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населенных пунктов, обеспеченных подъездными дорогами с твердым покрытием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a + c / b x 100%,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доля сельских населенных пунктов, обеспеченных подъездными дорогами с твердым покрытием базового года;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ежегодно</w:t>
            </w: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общее количество населенных пунктов;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 xml:space="preserve">b - сведения отражены в паспорте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c - количество сел, к которым построен подъе</w:t>
            </w:r>
            <w:proofErr w:type="gramStart"/>
            <w:r w:rsidRPr="00F812FA">
              <w:t>зд с тв</w:t>
            </w:r>
            <w:proofErr w:type="gramEnd"/>
            <w:r w:rsidRPr="00F812FA">
              <w:t>ердым покрытием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c - сведения отражены в актах приемки автодорог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2.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2.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100 - (a / b x 100%),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протяженность автодорог, не отвечающих нормативным требованиям к транспортно-эксплуатационным показателям;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a - по результатам обследования;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по состоянию на 01.01.2019</w:t>
            </w:r>
          </w:p>
        </w:tc>
      </w:tr>
      <w:tr w:rsidR="00F812FA" w:rsidRPr="00F812FA" w:rsidTr="004E215C"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общая протяженность автодорог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 xml:space="preserve">b - перечень автомобильных дорог общего пользования </w:t>
            </w:r>
            <w:r w:rsidRPr="00F812FA">
              <w:lastRenderedPageBreak/>
              <w:t>местного значения, утвержденный постановлением администрации от 25.12.2015 N 2560-па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lastRenderedPageBreak/>
              <w:t>по состоянию на 01.01.2016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lastRenderedPageBreak/>
              <w:t>3.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3.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площади убираемой территории в общей площади, подлежащей уборке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- общая площадь, подлежащая уборке;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4.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4.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 в общей площади;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>. - площадь территории, убираемой механизированным способом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5.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5.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a / b x 100%,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количество отремонтированных дворовых территорий многоквартирных жилых домов;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общее количество дворовых территорий многоквартирных жилых домов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форма федерального статистического наблюдения N 1-жилфонд, утверждена приказом Росстата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по состоянию на 01.01.2017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1.1.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шт.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сведения отражаются в акте приемки автодорог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2.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1.2.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 увеличится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км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2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2.1.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км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3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3.1.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площади убираемой территории в общей площади, подлежащей уборке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- общая площадь, подлежащая уборке;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2.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3.2.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 в общей площади;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>. - площадь территории, убираемой механизированным способом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Align w:val="bottom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4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4.1.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a / b x 100%,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количество отремонтированных дворовых территорий многоквартирных жилых домов;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общее количество дворовых территорий многоквартирных жилых домов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форма федерального статистического наблюдения N 1-жилфонд, утверждена приказом Росстата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по состоянию на 01.01.2016</w:t>
            </w:r>
          </w:p>
        </w:tc>
      </w:tr>
    </w:tbl>
    <w:p w:rsidR="00A830A8" w:rsidRPr="00F812FA" w:rsidRDefault="002A6923">
      <w:pPr>
        <w:pStyle w:val="ConsPlusNormal0"/>
        <w:jc w:val="both"/>
      </w:pPr>
      <w:r w:rsidRPr="00F812FA">
        <w:br w:type="textWrapping" w:clear="all"/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830A8" w:rsidRPr="00F812FA">
      <w:headerReference w:type="default" r:id="rId31"/>
      <w:footerReference w:type="default" r:id="rId32"/>
      <w:headerReference w:type="first" r:id="rId33"/>
      <w:footerReference w:type="first" r:id="rId34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FA" w:rsidRDefault="00F812FA">
      <w:r>
        <w:separator/>
      </w:r>
    </w:p>
  </w:endnote>
  <w:endnote w:type="continuationSeparator" w:id="0">
    <w:p w:rsidR="00F812FA" w:rsidRDefault="00F8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FA" w:rsidRDefault="00F812FA">
      <w:r>
        <w:separator/>
      </w:r>
    </w:p>
  </w:footnote>
  <w:footnote w:type="continuationSeparator" w:id="0">
    <w:p w:rsidR="00F812FA" w:rsidRDefault="00F81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7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</w:tblGrid>
    <w:tr w:rsidR="00F812FA" w:rsidTr="002E671D">
      <w:trPr>
        <w:trHeight w:hRule="exact" w:val="1190"/>
      </w:trPr>
      <w:tc>
        <w:tcPr>
          <w:tcW w:w="5000" w:type="pct"/>
          <w:vAlign w:val="center"/>
        </w:tcPr>
        <w:p w:rsidR="00F812FA" w:rsidRDefault="00F812FA">
          <w:pPr>
            <w:pStyle w:val="ConsPlusNormal0"/>
            <w:rPr>
              <w:rFonts w:ascii="Tahoma" w:hAnsi="Tahoma" w:cs="Tahoma"/>
            </w:rPr>
          </w:pPr>
        </w:p>
      </w:tc>
    </w:tr>
  </w:tbl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FA" w:rsidRDefault="00F812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812FA" w:rsidRDefault="00F812FA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30A8"/>
    <w:rsid w:val="002A6923"/>
    <w:rsid w:val="002E671D"/>
    <w:rsid w:val="00420F70"/>
    <w:rsid w:val="004E215C"/>
    <w:rsid w:val="0089099A"/>
    <w:rsid w:val="008C7398"/>
    <w:rsid w:val="00A830A8"/>
    <w:rsid w:val="00EA0DC1"/>
    <w:rsid w:val="00F812FA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909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9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09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099A"/>
  </w:style>
  <w:style w:type="paragraph" w:styleId="a7">
    <w:name w:val="footer"/>
    <w:basedOn w:val="a"/>
    <w:link w:val="a8"/>
    <w:uiPriority w:val="99"/>
    <w:unhideWhenUsed/>
    <w:rsid w:val="008909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0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7C173C63DB08013660E2DA51DD91CB2E9A2B26F5BC2393F88A966DF92DE8DBFC232B77A4F37EFEC8084635ECKFRB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34" Type="http://schemas.openxmlformats.org/officeDocument/2006/relationships/footer" Target="footer11.xml"/><Relationship Id="rId7" Type="http://schemas.openxmlformats.org/officeDocument/2006/relationships/hyperlink" Target="consultantplus://offline/ref=457C173C63DB08013660E2DA51DD91CB2E9A2B26FCB92393F88A966DF92DE8DBFC232B77A4F37EFEC8084635ECKFRBL" TargetMode="External"/><Relationship Id="rId12" Type="http://schemas.openxmlformats.org/officeDocument/2006/relationships/hyperlink" Target="consultantplus://offline/ref=457C173C63DB08013660FCD747B1CBC62E93772AF5B32DCDA3D5CD30AE24E28CA96C2A39E2F761FDCA124635E5AD6A63E8D62B33A87CEFF76B80B2K8R8L" TargetMode="Externa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header" Target="header9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57C173C63DB08013660FCD747B1CBC62E93772AF5B32DCDA3D5CD30AE24E28CA96C2A2BE2AF6DFDC0084534F0FB3B25KBRFL" TargetMode="External"/><Relationship Id="rId24" Type="http://schemas.openxmlformats.org/officeDocument/2006/relationships/footer" Target="footer6.xml"/><Relationship Id="rId32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57C173C63DB08013660FCD747B1CBC62E93772AFAB22EC1A6D5CD30AE24E28CA96C2A2BE2AF6DFDC0084534F0FB3B25KBRFL" TargetMode="External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7C173C63DB08013660FCD747B1CBC62E93772AF5B32DC4A0D5CD30AE24E28CA96C2A2BE2AF6DFDC0084534F0FB3B25KBRFL" TargetMode="Externa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header" Target="header8.xml"/><Relationship Id="rId30" Type="http://schemas.openxmlformats.org/officeDocument/2006/relationships/footer" Target="footer9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49</Pages>
  <Words>14946</Words>
  <Characters>85196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Губкинского городского округа Белгородской обл. от 08.09.2022 N 2046-па
"О внесении изменения в постановление администрации Губкинского городского округа от 14 октября 2013 года N 2477-па"
(вместе с "Муниципальной программой "Р</vt:lpstr>
    </vt:vector>
  </TitlesOfParts>
  <Company>КонсультантПлюс Версия 4022.00.50</Company>
  <LinksUpToDate>false</LinksUpToDate>
  <CharactersWithSpaces>99943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08.09.2022 N 2046-па
"О внесении изменения в постановление администрации Губкинского городского округа от 14 октября 2013 года N 2477-па"
(вместе с "Муниципальной программой "Развитие автомобильных дорог общего пользования местного значения Губкинского городского округа Белгородской области")</dc:title>
  <cp:lastModifiedBy>Ирина Киверник</cp:lastModifiedBy>
  <cp:revision>7</cp:revision>
  <dcterms:created xsi:type="dcterms:W3CDTF">2022-11-29T11:17:00Z</dcterms:created>
  <dcterms:modified xsi:type="dcterms:W3CDTF">2022-11-29T12:02:00Z</dcterms:modified>
</cp:coreProperties>
</file>