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FE4C16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FE4C16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FE4C16">
              <w:rPr>
                <w:sz w:val="24"/>
                <w:szCs w:val="24"/>
                <w:u w:val="single"/>
              </w:rPr>
              <w:t xml:space="preserve"> городского округа от 27 июня 2019 года № 1100-па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FE4C16">
              <w:rPr>
                <w:sz w:val="24"/>
                <w:szCs w:val="24"/>
                <w:u w:val="single"/>
              </w:rPr>
              <w:t>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876F03">
              <w:rPr>
                <w:sz w:val="24"/>
                <w:szCs w:val="24"/>
              </w:rPr>
              <w:t>27.01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876F03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876F03">
              <w:rPr>
                <w:sz w:val="24"/>
                <w:szCs w:val="24"/>
              </w:rPr>
              <w:t>09.02.2023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17</cp:revision>
  <dcterms:created xsi:type="dcterms:W3CDTF">2019-12-05T14:04:00Z</dcterms:created>
  <dcterms:modified xsi:type="dcterms:W3CDTF">2023-01-25T14:03:00Z</dcterms:modified>
</cp:coreProperties>
</file>