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E9" w:rsidRPr="00644D35" w:rsidRDefault="00F771E9" w:rsidP="00F771E9">
      <w:pPr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Pr="003321FA" w:rsidRDefault="00F771E9" w:rsidP="00F771E9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  <w:r w:rsidRPr="003321FA">
        <w:rPr>
          <w:rFonts w:eastAsia="Lucida Sans Unicode"/>
          <w:b/>
          <w:sz w:val="48"/>
          <w:szCs w:val="48"/>
        </w:rPr>
        <w:t xml:space="preserve">МП </w:t>
      </w:r>
      <w:r>
        <w:rPr>
          <w:rFonts w:eastAsia="Lucida Sans Unicode"/>
          <w:b/>
          <w:sz w:val="48"/>
          <w:szCs w:val="48"/>
        </w:rPr>
        <w:t>1</w:t>
      </w:r>
      <w:r w:rsidRPr="003321FA">
        <w:rPr>
          <w:rFonts w:eastAsia="Lucida Sans Unicode"/>
          <w:b/>
          <w:sz w:val="48"/>
          <w:szCs w:val="48"/>
        </w:rPr>
        <w:t xml:space="preserve">1 – Муниципальная программа </w:t>
      </w:r>
    </w:p>
    <w:p w:rsidR="00F771E9" w:rsidRPr="00F771E9" w:rsidRDefault="00F771E9" w:rsidP="00F771E9">
      <w:pPr>
        <w:pStyle w:val="2"/>
        <w:spacing w:before="0" w:after="0" w:line="240" w:lineRule="auto"/>
        <w:rPr>
          <w:rFonts w:eastAsia="Lucida Sans Unicode"/>
          <w:bCs/>
          <w:sz w:val="48"/>
          <w:szCs w:val="48"/>
        </w:rPr>
      </w:pPr>
      <w:r w:rsidRPr="003321FA">
        <w:rPr>
          <w:rFonts w:eastAsia="Lucida Sans Unicode"/>
          <w:b w:val="0"/>
          <w:bCs/>
          <w:sz w:val="48"/>
          <w:szCs w:val="48"/>
        </w:rPr>
        <w:t xml:space="preserve"> «</w:t>
      </w:r>
      <w:r w:rsidRPr="00F771E9">
        <w:rPr>
          <w:rFonts w:eastAsia="Lucida Sans Unicode"/>
          <w:bCs/>
          <w:sz w:val="48"/>
          <w:szCs w:val="48"/>
        </w:rPr>
        <w:t>Развитие информационного общества</w:t>
      </w:r>
    </w:p>
    <w:p w:rsidR="00F771E9" w:rsidRPr="003321FA" w:rsidRDefault="00F771E9" w:rsidP="00F771E9">
      <w:pPr>
        <w:suppressAutoHyphens/>
        <w:jc w:val="center"/>
        <w:rPr>
          <w:rFonts w:eastAsia="Lucida Sans Unicode"/>
          <w:b/>
          <w:bCs/>
          <w:sz w:val="48"/>
          <w:szCs w:val="48"/>
        </w:rPr>
      </w:pPr>
      <w:r w:rsidRPr="00F771E9">
        <w:rPr>
          <w:rFonts w:eastAsia="Lucida Sans Unicode"/>
          <w:b/>
          <w:bCs/>
          <w:sz w:val="48"/>
          <w:szCs w:val="48"/>
        </w:rPr>
        <w:t>в Губкинском городском округе Белгородской области</w:t>
      </w:r>
      <w:r w:rsidRPr="003321FA">
        <w:rPr>
          <w:rFonts w:eastAsia="Lucida Sans Unicode"/>
          <w:b/>
          <w:bCs/>
          <w:sz w:val="48"/>
          <w:szCs w:val="48"/>
        </w:rPr>
        <w:t>»</w:t>
      </w: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  <w:sectPr w:rsidR="00F771E9" w:rsidSect="007D307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322"/>
      </w:tblGrid>
      <w:tr w:rsidR="00F771E9" w:rsidRPr="00CB4399" w:rsidTr="007D307C">
        <w:tc>
          <w:tcPr>
            <w:tcW w:w="9464" w:type="dxa"/>
            <w:shd w:val="clear" w:color="auto" w:fill="auto"/>
          </w:tcPr>
          <w:p w:rsidR="00F771E9" w:rsidRPr="00CB4399" w:rsidRDefault="00F771E9" w:rsidP="007D307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22" w:type="dxa"/>
            <w:shd w:val="clear" w:color="auto" w:fill="auto"/>
          </w:tcPr>
          <w:p w:rsidR="00F771E9" w:rsidRPr="00CB4399" w:rsidRDefault="00F771E9" w:rsidP="007D307C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Проект паспорта</w:t>
            </w:r>
          </w:p>
          <w:p w:rsidR="00F771E9" w:rsidRPr="00CB4399" w:rsidRDefault="00F771E9" w:rsidP="007D307C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муниципальной программы</w:t>
            </w:r>
          </w:p>
          <w:p w:rsidR="00F771E9" w:rsidRPr="00CB4399" w:rsidRDefault="00F771E9" w:rsidP="007D307C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в соответствии с распределением</w:t>
            </w:r>
          </w:p>
          <w:p w:rsidR="00F771E9" w:rsidRPr="00CB4399" w:rsidRDefault="00F771E9" w:rsidP="007D307C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бюджетных ассигнований проекта</w:t>
            </w:r>
          </w:p>
          <w:p w:rsidR="00F771E9" w:rsidRPr="00CB4399" w:rsidRDefault="00F771E9" w:rsidP="007D307C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Бюджета Губкинского городского округа</w:t>
            </w:r>
          </w:p>
          <w:p w:rsidR="00F771E9" w:rsidRPr="00CB4399" w:rsidRDefault="00F771E9" w:rsidP="007D307C">
            <w:pPr>
              <w:suppressAutoHyphens/>
              <w:jc w:val="center"/>
              <w:rPr>
                <w:rFonts w:eastAsia="Lucida Sans Unicode"/>
                <w:sz w:val="24"/>
                <w:szCs w:val="24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Белгородской области на 2025 год</w:t>
            </w:r>
          </w:p>
          <w:p w:rsidR="00F771E9" w:rsidRPr="00CB4399" w:rsidRDefault="00F771E9" w:rsidP="007D307C">
            <w:pPr>
              <w:jc w:val="center"/>
              <w:rPr>
                <w:b/>
                <w:bCs/>
                <w:sz w:val="22"/>
                <w:szCs w:val="22"/>
              </w:rPr>
            </w:pPr>
            <w:r w:rsidRPr="00CB4399">
              <w:rPr>
                <w:rFonts w:eastAsia="Lucida Sans Unicode"/>
                <w:sz w:val="24"/>
                <w:szCs w:val="24"/>
              </w:rPr>
              <w:t>и на плановый период 2026 и 2027 годов</w:t>
            </w:r>
          </w:p>
        </w:tc>
      </w:tr>
    </w:tbl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Pr="00644D35" w:rsidRDefault="00F771E9" w:rsidP="00F771E9">
      <w:pPr>
        <w:jc w:val="center"/>
        <w:rPr>
          <w:b/>
          <w:sz w:val="22"/>
          <w:szCs w:val="22"/>
        </w:rPr>
      </w:pPr>
      <w:r w:rsidRPr="00644D35">
        <w:rPr>
          <w:b/>
          <w:bCs/>
          <w:sz w:val="22"/>
          <w:szCs w:val="22"/>
        </w:rPr>
        <w:t>Паспорт</w:t>
      </w:r>
      <w:r w:rsidRPr="00644D35">
        <w:rPr>
          <w:b/>
          <w:sz w:val="22"/>
          <w:szCs w:val="22"/>
        </w:rPr>
        <w:t xml:space="preserve"> </w:t>
      </w:r>
    </w:p>
    <w:p w:rsidR="00F771E9" w:rsidRPr="00644D35" w:rsidRDefault="00F771E9" w:rsidP="00F771E9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муниципальной программы Губкинского городского округа Белгородской области </w:t>
      </w:r>
    </w:p>
    <w:p w:rsidR="00F771E9" w:rsidRPr="00F771E9" w:rsidRDefault="00F771E9" w:rsidP="00F771E9">
      <w:pPr>
        <w:pStyle w:val="2"/>
        <w:spacing w:before="0" w:after="0" w:line="240" w:lineRule="auto"/>
        <w:rPr>
          <w:bCs/>
          <w:sz w:val="22"/>
          <w:szCs w:val="22"/>
          <w:lang w:eastAsia="ru-RU"/>
        </w:rPr>
      </w:pPr>
      <w:r w:rsidRPr="00644D35">
        <w:rPr>
          <w:b w:val="0"/>
          <w:sz w:val="22"/>
          <w:szCs w:val="22"/>
        </w:rPr>
        <w:t xml:space="preserve"> «</w:t>
      </w:r>
      <w:r w:rsidRPr="00F771E9">
        <w:rPr>
          <w:bCs/>
          <w:sz w:val="22"/>
          <w:szCs w:val="22"/>
          <w:lang w:eastAsia="ru-RU"/>
        </w:rPr>
        <w:t>Развитие информационного общества</w:t>
      </w:r>
    </w:p>
    <w:p w:rsidR="00F771E9" w:rsidRPr="00644D35" w:rsidRDefault="00F771E9" w:rsidP="00F771E9">
      <w:pPr>
        <w:jc w:val="center"/>
        <w:rPr>
          <w:b/>
          <w:sz w:val="22"/>
          <w:szCs w:val="22"/>
        </w:rPr>
      </w:pPr>
      <w:r w:rsidRPr="00F771E9">
        <w:rPr>
          <w:b/>
          <w:bCs/>
          <w:sz w:val="22"/>
          <w:szCs w:val="22"/>
        </w:rPr>
        <w:t>в Губкинском городском округе Белгородской области</w:t>
      </w:r>
      <w:r w:rsidRPr="00644D35">
        <w:rPr>
          <w:b/>
          <w:sz w:val="22"/>
          <w:szCs w:val="22"/>
        </w:rPr>
        <w:t>»</w:t>
      </w:r>
    </w:p>
    <w:p w:rsidR="00F771E9" w:rsidRPr="00644D35" w:rsidRDefault="00F771E9" w:rsidP="00F771E9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(далее - муниципальная программа) </w:t>
      </w:r>
    </w:p>
    <w:p w:rsidR="00F771E9" w:rsidRPr="00644D35" w:rsidRDefault="00F771E9" w:rsidP="00F771E9">
      <w:pPr>
        <w:jc w:val="center"/>
        <w:rPr>
          <w:b/>
          <w:bCs/>
          <w:sz w:val="22"/>
          <w:szCs w:val="22"/>
        </w:rPr>
      </w:pPr>
    </w:p>
    <w:p w:rsidR="00F771E9" w:rsidRPr="00AF7395" w:rsidRDefault="00F771E9" w:rsidP="00F771E9">
      <w:pPr>
        <w:pStyle w:val="4"/>
        <w:rPr>
          <w:b/>
        </w:rPr>
      </w:pPr>
      <w:r w:rsidRPr="00AF7395">
        <w:rPr>
          <w:b/>
        </w:rPr>
        <w:t>1. Основные положения</w:t>
      </w:r>
    </w:p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1"/>
        <w:gridCol w:w="5915"/>
        <w:gridCol w:w="2961"/>
      </w:tblGrid>
      <w:tr w:rsidR="008A776D" w:rsidRPr="00EB3A66" w:rsidTr="00A00D04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 xml:space="preserve">Куратор муниципальной программы </w:t>
            </w:r>
          </w:p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8A776D" w:rsidP="00AF7395">
            <w:pPr>
              <w:spacing w:line="228" w:lineRule="auto"/>
              <w:ind w:left="255"/>
              <w:jc w:val="both"/>
              <w:outlineLvl w:val="1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Первый заместитель главы администрации, руководитель аппарата администрации</w:t>
            </w:r>
          </w:p>
        </w:tc>
      </w:tr>
      <w:tr w:rsidR="008A776D" w:rsidRPr="00EB3A66" w:rsidTr="00A00D04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8A776D" w:rsidP="00AF7395">
            <w:pPr>
              <w:keepLines/>
              <w:widowControl w:val="0"/>
              <w:spacing w:line="228" w:lineRule="auto"/>
              <w:ind w:left="255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Начальник управления массовых коммуникаций и информационных технологий</w:t>
            </w:r>
          </w:p>
        </w:tc>
      </w:tr>
      <w:tr w:rsidR="008A776D" w:rsidRPr="00EB3A66" w:rsidTr="00A00D04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2025 - 2030</w:t>
            </w:r>
          </w:p>
        </w:tc>
      </w:tr>
      <w:tr w:rsidR="008A776D" w:rsidRPr="00EB3A66" w:rsidTr="00A00D04">
        <w:trPr>
          <w:trHeight w:val="123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Цели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i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Цель 1</w:t>
            </w:r>
            <w:r w:rsidR="006F6D23">
              <w:rPr>
                <w:rFonts w:eastAsia="Arial Unicode MS"/>
                <w:sz w:val="22"/>
                <w:szCs w:val="22"/>
              </w:rPr>
              <w:t xml:space="preserve">: </w:t>
            </w:r>
            <w:r w:rsidR="006F6D23" w:rsidRPr="006F6D23">
              <w:rPr>
                <w:rFonts w:eastAsia="Arial Unicode MS"/>
                <w:sz w:val="22"/>
                <w:szCs w:val="22"/>
              </w:rPr>
              <w:t>Доля граждан, использующих механизм получения государственных и м</w:t>
            </w:r>
            <w:r w:rsidR="00A00D04">
              <w:rPr>
                <w:rFonts w:eastAsia="Arial Unicode MS"/>
                <w:sz w:val="22"/>
                <w:szCs w:val="22"/>
              </w:rPr>
              <w:t>униципаль</w:t>
            </w:r>
            <w:r w:rsidR="006F6D23" w:rsidRPr="006F6D23">
              <w:rPr>
                <w:rFonts w:eastAsia="Arial Unicode MS"/>
                <w:sz w:val="22"/>
                <w:szCs w:val="22"/>
              </w:rPr>
              <w:t>ных услуг в электронной форме</w:t>
            </w:r>
          </w:p>
        </w:tc>
      </w:tr>
      <w:tr w:rsidR="008A776D" w:rsidRPr="00EB3A66" w:rsidTr="00A00D04">
        <w:trPr>
          <w:trHeight w:val="20"/>
        </w:trPr>
        <w:tc>
          <w:tcPr>
            <w:tcW w:w="2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6D" w:rsidRPr="00EB3A66" w:rsidRDefault="006F6D2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Цель 2: </w:t>
            </w:r>
            <w:r w:rsidRPr="006F6D23">
              <w:rPr>
                <w:rFonts w:eastAsia="Arial Unicode MS"/>
                <w:sz w:val="22"/>
                <w:szCs w:val="22"/>
              </w:rP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</w:tr>
      <w:tr w:rsidR="008A776D" w:rsidRPr="00EB3A66" w:rsidTr="00A00D04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Направления (подпрограммы)</w:t>
            </w:r>
            <w:r w:rsidRPr="00EB3A66">
              <w:rPr>
                <w:sz w:val="22"/>
                <w:szCs w:val="22"/>
              </w:rPr>
              <w:t xml:space="preserve">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6F6D2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нет</w:t>
            </w:r>
          </w:p>
        </w:tc>
      </w:tr>
      <w:tr w:rsidR="008A776D" w:rsidRPr="00EB3A66" w:rsidTr="00A00D04">
        <w:trPr>
          <w:trHeight w:val="104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8A776D" w:rsidP="005C5F6E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 xml:space="preserve">Всего по муниципальной программе (комплексной подпрограмме) </w:t>
            </w:r>
            <w:r w:rsidR="005C5F6E">
              <w:rPr>
                <w:rFonts w:eastAsia="Arial Unicode MS"/>
                <w:sz w:val="22"/>
                <w:szCs w:val="22"/>
              </w:rPr>
              <w:t>58</w:t>
            </w:r>
            <w:r w:rsidR="009E236E">
              <w:rPr>
                <w:rFonts w:eastAsia="Arial Unicode MS"/>
                <w:sz w:val="22"/>
                <w:szCs w:val="22"/>
              </w:rPr>
              <w:t xml:space="preserve"> </w:t>
            </w:r>
            <w:r w:rsidR="005C5F6E">
              <w:rPr>
                <w:rFonts w:eastAsia="Arial Unicode MS"/>
                <w:sz w:val="22"/>
                <w:szCs w:val="22"/>
              </w:rPr>
              <w:t>424</w:t>
            </w:r>
            <w:r w:rsidRPr="00EB3A66">
              <w:rPr>
                <w:rFonts w:eastAsia="Arial Unicode MS"/>
                <w:sz w:val="22"/>
                <w:szCs w:val="22"/>
              </w:rPr>
              <w:t xml:space="preserve"> тыс. руб., в том числе:</w:t>
            </w:r>
          </w:p>
        </w:tc>
      </w:tr>
      <w:tr w:rsidR="008A776D" w:rsidRPr="00EB3A66" w:rsidTr="00A00D04">
        <w:trPr>
          <w:trHeight w:val="104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jc w:val="center"/>
              <w:rPr>
                <w:rFonts w:eastAsia="Arial Unicode MS"/>
                <w:i/>
                <w:strike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jc w:val="center"/>
              <w:rPr>
                <w:rFonts w:eastAsia="Arial Unicode MS"/>
                <w:i/>
                <w:strike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объем финансового обеспечения, тыс. руб.</w:t>
            </w:r>
          </w:p>
        </w:tc>
      </w:tr>
      <w:tr w:rsidR="00ED12C3" w:rsidRPr="00EB3A66" w:rsidTr="00A00D04">
        <w:trPr>
          <w:trHeight w:val="58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2C3" w:rsidRPr="00EB3A66" w:rsidRDefault="00ED12C3" w:rsidP="00AF7395">
            <w:pPr>
              <w:widowControl w:val="0"/>
              <w:autoSpaceDE w:val="0"/>
              <w:autoSpaceDN w:val="0"/>
              <w:adjustRightInd w:val="0"/>
              <w:spacing w:line="233" w:lineRule="auto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б</w:t>
            </w:r>
            <w:r w:rsidRPr="00EB3A66">
              <w:rPr>
                <w:rFonts w:eastAsia="Arial Unicode MS"/>
                <w:sz w:val="22"/>
                <w:szCs w:val="22"/>
              </w:rPr>
              <w:t>юджет Губкинского городского округа Белгородской области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5C5F6E" w:rsidP="000F5EE7">
            <w:pPr>
              <w:spacing w:line="228" w:lineRule="auto"/>
              <w:ind w:left="255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58</w:t>
            </w:r>
            <w:r w:rsidR="009E236E"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t>424</w:t>
            </w:r>
          </w:p>
        </w:tc>
      </w:tr>
      <w:tr w:rsidR="00ED12C3" w:rsidRPr="00EB3A66" w:rsidTr="00A00D04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autoSpaceDE w:val="0"/>
              <w:autoSpaceDN w:val="0"/>
              <w:adjustRightInd w:val="0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trike/>
                <w:sz w:val="22"/>
                <w:szCs w:val="22"/>
              </w:rPr>
              <w:t>-</w:t>
            </w:r>
          </w:p>
        </w:tc>
      </w:tr>
      <w:tr w:rsidR="00ED12C3" w:rsidRPr="00EB3A66" w:rsidTr="00A00D04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autoSpaceDE w:val="0"/>
              <w:autoSpaceDN w:val="0"/>
              <w:adjustRightInd w:val="0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trike/>
                <w:sz w:val="22"/>
                <w:szCs w:val="22"/>
              </w:rPr>
              <w:t>-</w:t>
            </w:r>
          </w:p>
        </w:tc>
      </w:tr>
      <w:tr w:rsidR="00ED12C3" w:rsidRPr="00EB3A66" w:rsidTr="00A00D04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2C3" w:rsidRPr="00EB3A66" w:rsidRDefault="00ED12C3" w:rsidP="00AF7395">
            <w:pPr>
              <w:autoSpaceDE w:val="0"/>
              <w:autoSpaceDN w:val="0"/>
              <w:adjustRightInd w:val="0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2C3" w:rsidRPr="00EB3A66" w:rsidRDefault="00ED12C3" w:rsidP="00AF7395">
            <w:pPr>
              <w:spacing w:line="228" w:lineRule="auto"/>
              <w:ind w:left="255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trike/>
                <w:sz w:val="22"/>
                <w:szCs w:val="22"/>
              </w:rPr>
              <w:t>-</w:t>
            </w:r>
          </w:p>
        </w:tc>
      </w:tr>
      <w:tr w:rsidR="008A776D" w:rsidRPr="00EB3A66" w:rsidTr="00A00D04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76D" w:rsidRPr="00EB3A66" w:rsidRDefault="006F6D23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нет</w:t>
            </w:r>
          </w:p>
        </w:tc>
      </w:tr>
      <w:tr w:rsidR="008A776D" w:rsidRPr="00EB3A66" w:rsidTr="00A00D04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6D" w:rsidRPr="00EB3A66" w:rsidRDefault="008A776D" w:rsidP="00AF7395">
            <w:pPr>
              <w:spacing w:line="228" w:lineRule="auto"/>
              <w:ind w:left="255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Связь с целями развития Губкинского городского округа Белгородской области / стратегическими приоритетами Губкинского городского округа</w:t>
            </w:r>
            <w:r w:rsidRPr="00EB3A66">
              <w:rPr>
                <w:rStyle w:val="a6"/>
                <w:sz w:val="22"/>
                <w:szCs w:val="22"/>
              </w:rPr>
              <w:t xml:space="preserve"> </w:t>
            </w:r>
            <w:r w:rsidRPr="00EB3A66">
              <w:rPr>
                <w:sz w:val="22"/>
                <w:szCs w:val="22"/>
              </w:rPr>
              <w:t xml:space="preserve"> Белгородской области</w:t>
            </w:r>
            <w:r w:rsidRPr="00EB3A66">
              <w:rPr>
                <w:rStyle w:val="a6"/>
                <w:sz w:val="22"/>
                <w:szCs w:val="22"/>
              </w:rPr>
              <w:t xml:space="preserve"> 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6D" w:rsidRPr="004B12B2" w:rsidRDefault="004B12B2" w:rsidP="00AF7395">
            <w:pPr>
              <w:spacing w:line="228" w:lineRule="auto"/>
              <w:ind w:left="255"/>
              <w:rPr>
                <w:rFonts w:eastAsia="Arial Unicode MS"/>
                <w:sz w:val="22"/>
                <w:szCs w:val="22"/>
              </w:rPr>
            </w:pPr>
            <w:r w:rsidRPr="004B12B2">
              <w:rPr>
                <w:rFonts w:eastAsia="Arial Unicode MS"/>
                <w:sz w:val="22"/>
                <w:szCs w:val="22"/>
              </w:rPr>
              <w:t>Четвертое стратегическое направление "Развитие гражданского сообщества Губкинского городского округа"</w:t>
            </w:r>
            <w:r>
              <w:rPr>
                <w:rFonts w:eastAsia="Arial Unicode MS"/>
                <w:sz w:val="22"/>
                <w:szCs w:val="22"/>
              </w:rPr>
              <w:t xml:space="preserve">. Целевой показатель 1: </w:t>
            </w:r>
            <w:r w:rsidRPr="004B12B2">
              <w:rPr>
                <w:rFonts w:eastAsia="Arial Unicode MS"/>
                <w:sz w:val="22"/>
                <w:szCs w:val="22"/>
              </w:rPr>
              <w:t>Увеличение доли граждан, использующих механизм получения государственных и муниципальных услуг в электронной форме, до 80%</w:t>
            </w:r>
            <w:r>
              <w:rPr>
                <w:rFonts w:eastAsia="Arial Unicode MS"/>
                <w:sz w:val="22"/>
                <w:szCs w:val="22"/>
              </w:rPr>
              <w:t xml:space="preserve">. Целевой показатель 2: </w:t>
            </w:r>
            <w:r w:rsidRPr="004B12B2">
              <w:rPr>
                <w:rFonts w:eastAsia="Arial Unicode MS"/>
                <w:sz w:val="22"/>
                <w:szCs w:val="22"/>
              </w:rPr>
              <w:t>Доведение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</w:t>
            </w:r>
          </w:p>
        </w:tc>
      </w:tr>
    </w:tbl>
    <w:p w:rsidR="00AF7395" w:rsidRPr="00644D35" w:rsidRDefault="00AF7395" w:rsidP="00AF7395">
      <w:pPr>
        <w:spacing w:after="295" w:line="259" w:lineRule="auto"/>
        <w:ind w:right="17"/>
        <w:rPr>
          <w:b/>
          <w:bCs/>
          <w:sz w:val="22"/>
          <w:szCs w:val="22"/>
        </w:rPr>
      </w:pPr>
    </w:p>
    <w:p w:rsidR="00AF7395" w:rsidRPr="00644D35" w:rsidRDefault="00AF7395" w:rsidP="00AF7395">
      <w:pPr>
        <w:spacing w:after="295" w:line="259" w:lineRule="auto"/>
        <w:ind w:right="17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2. Показатели муниципальной  программы</w:t>
      </w:r>
    </w:p>
    <w:tbl>
      <w:tblPr>
        <w:tblpPr w:leftFromText="180" w:rightFromText="180" w:vertAnchor="text" w:tblpX="-965" w:tblpY="1"/>
        <w:tblOverlap w:val="never"/>
        <w:tblW w:w="5338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"/>
        <w:gridCol w:w="1636"/>
        <w:gridCol w:w="1327"/>
        <w:gridCol w:w="1330"/>
        <w:gridCol w:w="918"/>
        <w:gridCol w:w="568"/>
        <w:gridCol w:w="600"/>
        <w:gridCol w:w="528"/>
        <w:gridCol w:w="572"/>
        <w:gridCol w:w="565"/>
        <w:gridCol w:w="565"/>
        <w:gridCol w:w="572"/>
        <w:gridCol w:w="593"/>
        <w:gridCol w:w="1140"/>
        <w:gridCol w:w="1565"/>
        <w:gridCol w:w="1143"/>
        <w:gridCol w:w="1552"/>
      </w:tblGrid>
      <w:tr w:rsidR="00411AC4" w:rsidRPr="00AF7395" w:rsidTr="00AF7395">
        <w:trPr>
          <w:trHeight w:val="20"/>
          <w:tblHeader/>
        </w:trPr>
        <w:tc>
          <w:tcPr>
            <w:tcW w:w="1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№</w:t>
            </w:r>
          </w:p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AF7395">
              <w:rPr>
                <w:spacing w:val="-2"/>
                <w:sz w:val="22"/>
                <w:szCs w:val="22"/>
              </w:rPr>
              <w:t>пп</w:t>
            </w:r>
            <w:proofErr w:type="spellEnd"/>
            <w:r w:rsidRPr="00AF7395">
              <w:rPr>
                <w:spacing w:val="-2"/>
                <w:sz w:val="22"/>
                <w:szCs w:val="22"/>
              </w:rPr>
              <w:t>.</w:t>
            </w:r>
          </w:p>
        </w:tc>
        <w:tc>
          <w:tcPr>
            <w:tcW w:w="5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2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Уровень показателя</w:t>
            </w:r>
          </w:p>
        </w:tc>
        <w:tc>
          <w:tcPr>
            <w:tcW w:w="42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</w:p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2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Единица измерения</w:t>
            </w:r>
          </w:p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 xml:space="preserve"> (по ОКЕИ)</w:t>
            </w:r>
          </w:p>
        </w:tc>
        <w:tc>
          <w:tcPr>
            <w:tcW w:w="37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Базовое значение</w:t>
            </w:r>
          </w:p>
        </w:tc>
        <w:tc>
          <w:tcPr>
            <w:tcW w:w="1087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Документ</w:t>
            </w:r>
          </w:p>
        </w:tc>
        <w:tc>
          <w:tcPr>
            <w:tcW w:w="50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proofErr w:type="gramStart"/>
            <w:r w:rsidRPr="00AF7395">
              <w:rPr>
                <w:spacing w:val="-2"/>
                <w:sz w:val="22"/>
                <w:szCs w:val="22"/>
              </w:rPr>
              <w:t>Ответственный</w:t>
            </w:r>
            <w:proofErr w:type="gramEnd"/>
            <w:r w:rsidRPr="00AF7395">
              <w:rPr>
                <w:spacing w:val="-2"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3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4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  <w:highlight w:val="yellow"/>
              </w:rPr>
            </w:pPr>
            <w:r w:rsidRPr="00AF7395">
              <w:rPr>
                <w:spacing w:val="-2"/>
                <w:sz w:val="22"/>
                <w:szCs w:val="22"/>
              </w:rPr>
              <w:t>Связь с показателями государственных программ Белгородской области</w:t>
            </w:r>
          </w:p>
        </w:tc>
      </w:tr>
      <w:tr w:rsidR="00411AC4" w:rsidRPr="00AF7395" w:rsidTr="00AF7395">
        <w:trPr>
          <w:trHeight w:val="20"/>
          <w:tblHeader/>
        </w:trPr>
        <w:tc>
          <w:tcPr>
            <w:tcW w:w="14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42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29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значение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год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2D45BE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AF7395">
              <w:rPr>
                <w:spacing w:val="-2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2026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2028</w:t>
            </w:r>
          </w:p>
        </w:tc>
        <w:tc>
          <w:tcPr>
            <w:tcW w:w="18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2029</w:t>
            </w:r>
          </w:p>
        </w:tc>
        <w:tc>
          <w:tcPr>
            <w:tcW w:w="18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2030</w:t>
            </w:r>
          </w:p>
        </w:tc>
        <w:tc>
          <w:tcPr>
            <w:tcW w:w="3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36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4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11AC4" w:rsidRPr="00AF7395" w:rsidTr="00AF7395">
        <w:trPr>
          <w:trHeight w:val="20"/>
          <w:tblHeader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</w:t>
            </w:r>
          </w:p>
        </w:tc>
        <w:tc>
          <w:tcPr>
            <w:tcW w:w="42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</w:t>
            </w:r>
          </w:p>
        </w:tc>
        <w:tc>
          <w:tcPr>
            <w:tcW w:w="42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4</w:t>
            </w:r>
          </w:p>
        </w:tc>
        <w:tc>
          <w:tcPr>
            <w:tcW w:w="29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5</w:t>
            </w:r>
          </w:p>
        </w:tc>
        <w:tc>
          <w:tcPr>
            <w:tcW w:w="1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6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7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9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11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12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13</w:t>
            </w:r>
          </w:p>
        </w:tc>
        <w:tc>
          <w:tcPr>
            <w:tcW w:w="36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14</w:t>
            </w:r>
          </w:p>
        </w:tc>
        <w:tc>
          <w:tcPr>
            <w:tcW w:w="4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28F" w:rsidRPr="00AF7395" w:rsidRDefault="0047528F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15</w:t>
            </w:r>
          </w:p>
        </w:tc>
      </w:tr>
      <w:tr w:rsidR="00AF7395" w:rsidRPr="00AF7395" w:rsidTr="00AF7395">
        <w:trPr>
          <w:trHeight w:val="20"/>
          <w:tblHeader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395" w:rsidRPr="00AF7395" w:rsidRDefault="00AF7395" w:rsidP="00B074D9">
            <w:pPr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Цель муниципальной программы (комплексной программы) № 1</w:t>
            </w:r>
          </w:p>
          <w:p w:rsidR="00AF7395" w:rsidRPr="00AF7395" w:rsidRDefault="00AF7395" w:rsidP="002D45BE">
            <w:pPr>
              <w:jc w:val="center"/>
              <w:rPr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«Доля граждан, использующих механизм получения государственных и муниципальных услуг в электронной форме»</w:t>
            </w:r>
          </w:p>
        </w:tc>
      </w:tr>
      <w:tr w:rsidR="00411AC4" w:rsidRPr="00AF7395" w:rsidTr="00AF7395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1.1.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47528F" w:rsidRPr="00AF7395" w:rsidRDefault="0047528F" w:rsidP="00B074D9">
            <w:pPr>
              <w:rPr>
                <w:sz w:val="22"/>
                <w:szCs w:val="22"/>
                <w:highlight w:val="yellow"/>
              </w:rPr>
            </w:pPr>
            <w:r w:rsidRPr="00AF7395">
              <w:rPr>
                <w:sz w:val="22"/>
                <w:szCs w:val="22"/>
              </w:rPr>
              <w:t>Доля объектов</w:t>
            </w:r>
            <w:r w:rsidR="004B108C" w:rsidRPr="00AF7395">
              <w:rPr>
                <w:sz w:val="22"/>
                <w:szCs w:val="22"/>
              </w:rPr>
              <w:t xml:space="preserve"> органов местного самоуправления</w:t>
            </w:r>
            <w:r w:rsidRPr="00AF7395">
              <w:rPr>
                <w:sz w:val="22"/>
                <w:szCs w:val="22"/>
              </w:rPr>
              <w:t>, обеспеченных информационно-коммуникационной инфраструктурой связи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МП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7528F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911EB2" w:rsidP="005E2C0E">
            <w:pPr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2022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11AC4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11AC4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11AC4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47528F" w:rsidRPr="00AF7395" w:rsidRDefault="00411AC4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11AC4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11AC4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528F" w:rsidRPr="00AF7395" w:rsidRDefault="0047528F" w:rsidP="00B074D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28F" w:rsidRPr="00AF7395" w:rsidRDefault="00AE6706" w:rsidP="00B074D9">
            <w:pPr>
              <w:rPr>
                <w:b/>
                <w:spacing w:val="-2"/>
                <w:sz w:val="22"/>
                <w:szCs w:val="22"/>
              </w:rPr>
            </w:pPr>
            <w:r w:rsidRPr="00AF7395">
              <w:rPr>
                <w:b/>
                <w:spacing w:val="-2"/>
                <w:sz w:val="22"/>
                <w:szCs w:val="22"/>
              </w:rPr>
              <w:t>нет</w:t>
            </w: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28F" w:rsidRPr="00AF7395" w:rsidRDefault="00AE6706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нет</w:t>
            </w:r>
          </w:p>
        </w:tc>
      </w:tr>
      <w:tr w:rsidR="00AE6706" w:rsidRPr="00AF7395" w:rsidTr="00AF7395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lastRenderedPageBreak/>
              <w:t>1.2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E6706" w:rsidRPr="00AF7395" w:rsidRDefault="00AE6706" w:rsidP="00B074D9">
            <w:pPr>
              <w:rPr>
                <w:sz w:val="22"/>
                <w:szCs w:val="22"/>
                <w:highlight w:val="yellow"/>
              </w:rPr>
            </w:pPr>
            <w:r w:rsidRPr="00AF7395">
              <w:rPr>
                <w:sz w:val="22"/>
                <w:szCs w:val="22"/>
              </w:rPr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МП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  <w:highlight w:val="yellow"/>
              </w:rPr>
            </w:pPr>
            <w:r w:rsidRPr="00AF7395">
              <w:rPr>
                <w:spacing w:val="-2"/>
                <w:sz w:val="22"/>
                <w:szCs w:val="2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2022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b/>
                <w:spacing w:val="-2"/>
                <w:sz w:val="22"/>
                <w:szCs w:val="22"/>
              </w:rPr>
            </w:pPr>
            <w:r w:rsidRPr="00AF7395">
              <w:rPr>
                <w:b/>
                <w:spacing w:val="-2"/>
                <w:sz w:val="22"/>
                <w:szCs w:val="22"/>
              </w:rPr>
              <w:t>нет</w:t>
            </w: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нет</w:t>
            </w:r>
          </w:p>
        </w:tc>
      </w:tr>
      <w:tr w:rsidR="00AE6706" w:rsidRPr="00AF7395" w:rsidTr="00AF7395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1.3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E6706" w:rsidRPr="00AF7395" w:rsidRDefault="00AE6706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Уровень соответствия серверного оборудования и программного обеспечения потребностям органам местного самоуправления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МП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  <w:highlight w:val="yellow"/>
              </w:rPr>
            </w:pPr>
            <w:r w:rsidRPr="00AF7395">
              <w:rPr>
                <w:spacing w:val="-2"/>
                <w:sz w:val="22"/>
                <w:szCs w:val="2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2022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b/>
                <w:spacing w:val="-2"/>
                <w:sz w:val="22"/>
                <w:szCs w:val="22"/>
              </w:rPr>
            </w:pPr>
            <w:r w:rsidRPr="00AF7395">
              <w:rPr>
                <w:b/>
                <w:spacing w:val="-2"/>
                <w:sz w:val="22"/>
                <w:szCs w:val="22"/>
              </w:rPr>
              <w:t>нет</w:t>
            </w: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нет</w:t>
            </w:r>
          </w:p>
        </w:tc>
      </w:tr>
      <w:tr w:rsidR="00AF7395" w:rsidRPr="00AF7395" w:rsidTr="00AF7395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7395" w:rsidRPr="00AF7395" w:rsidRDefault="00AF7395" w:rsidP="00B074D9">
            <w:pPr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Цель муниципальной программы (комплексной программы) № 2</w:t>
            </w:r>
          </w:p>
          <w:p w:rsidR="00AF7395" w:rsidRPr="00AF7395" w:rsidRDefault="00AF7395" w:rsidP="002D45BE">
            <w:pPr>
              <w:jc w:val="center"/>
              <w:rPr>
                <w:i/>
                <w:strike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«Доля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форме»</w:t>
            </w:r>
          </w:p>
        </w:tc>
      </w:tr>
      <w:tr w:rsidR="00AE6706" w:rsidRPr="00AF7395" w:rsidTr="00AF7395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  <w:lang w:val="en-US"/>
              </w:rPr>
              <w:t>№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 xml:space="preserve">Доля охвата специализированными программными продуктами в части технического сопровождения деятельности </w:t>
            </w:r>
            <w:r w:rsidRPr="00AF7395">
              <w:rPr>
                <w:spacing w:val="-2"/>
                <w:sz w:val="22"/>
                <w:szCs w:val="22"/>
              </w:rPr>
              <w:lastRenderedPageBreak/>
              <w:t>органов местного самоуправления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lastRenderedPageBreak/>
              <w:t>МП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  <w:highlight w:val="yellow"/>
              </w:rPr>
            </w:pPr>
            <w:r w:rsidRPr="00AF7395">
              <w:rPr>
                <w:spacing w:val="-2"/>
                <w:sz w:val="22"/>
                <w:szCs w:val="2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2022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b/>
                <w:spacing w:val="-2"/>
                <w:sz w:val="22"/>
                <w:szCs w:val="22"/>
              </w:rPr>
            </w:pPr>
            <w:r w:rsidRPr="00AF7395">
              <w:rPr>
                <w:b/>
                <w:spacing w:val="-2"/>
                <w:sz w:val="22"/>
                <w:szCs w:val="22"/>
              </w:rPr>
              <w:t>нет</w:t>
            </w: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нет</w:t>
            </w:r>
          </w:p>
        </w:tc>
      </w:tr>
      <w:tr w:rsidR="00AE6706" w:rsidRPr="00AF7395" w:rsidTr="00AF7395">
        <w:trPr>
          <w:trHeight w:val="20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МП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jc w:val="center"/>
              <w:rPr>
                <w:spacing w:val="-2"/>
                <w:sz w:val="22"/>
                <w:szCs w:val="22"/>
                <w:highlight w:val="yellow"/>
              </w:rPr>
            </w:pPr>
            <w:r w:rsidRPr="00AF7395">
              <w:rPr>
                <w:spacing w:val="-2"/>
                <w:sz w:val="22"/>
                <w:szCs w:val="2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9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2022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100</w:t>
            </w:r>
          </w:p>
        </w:tc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6706" w:rsidRPr="00AF7395" w:rsidRDefault="00AE6706" w:rsidP="00B074D9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b/>
                <w:spacing w:val="-2"/>
                <w:sz w:val="22"/>
                <w:szCs w:val="22"/>
              </w:rPr>
            </w:pPr>
            <w:r w:rsidRPr="00AF7395">
              <w:rPr>
                <w:b/>
                <w:spacing w:val="-2"/>
                <w:sz w:val="22"/>
                <w:szCs w:val="22"/>
              </w:rPr>
              <w:t>нет</w:t>
            </w: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706" w:rsidRPr="00AF7395" w:rsidRDefault="00AE6706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нет</w:t>
            </w:r>
          </w:p>
        </w:tc>
      </w:tr>
    </w:tbl>
    <w:p w:rsidR="00AF7395" w:rsidRDefault="00AF7395" w:rsidP="00AF7395">
      <w:pPr>
        <w:spacing w:after="300" w:line="259" w:lineRule="auto"/>
        <w:jc w:val="center"/>
        <w:rPr>
          <w:b/>
          <w:bCs/>
          <w:sz w:val="22"/>
          <w:szCs w:val="22"/>
        </w:rPr>
      </w:pPr>
    </w:p>
    <w:p w:rsidR="00AF7395" w:rsidRPr="00644D35" w:rsidRDefault="00AF7395" w:rsidP="00AF7395">
      <w:pPr>
        <w:spacing w:after="300"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3. Помесячный план достижения показателей муниципальной  программы в 2025 году</w:t>
      </w:r>
    </w:p>
    <w:tbl>
      <w:tblPr>
        <w:tblW w:w="5733" w:type="pct"/>
        <w:tblInd w:w="-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20"/>
        <w:gridCol w:w="2833"/>
        <w:gridCol w:w="1184"/>
        <w:gridCol w:w="1190"/>
        <w:gridCol w:w="890"/>
        <w:gridCol w:w="886"/>
        <w:gridCol w:w="742"/>
        <w:gridCol w:w="742"/>
        <w:gridCol w:w="739"/>
        <w:gridCol w:w="739"/>
        <w:gridCol w:w="742"/>
        <w:gridCol w:w="742"/>
        <w:gridCol w:w="1037"/>
        <w:gridCol w:w="886"/>
        <w:gridCol w:w="1023"/>
        <w:gridCol w:w="1625"/>
      </w:tblGrid>
      <w:tr w:rsidR="00AE6706" w:rsidRPr="00AF7395" w:rsidTr="00A00D04">
        <w:trPr>
          <w:trHeight w:val="283"/>
          <w:tblHeader/>
        </w:trPr>
        <w:tc>
          <w:tcPr>
            <w:tcW w:w="215" w:type="pct"/>
            <w:vMerge w:val="restar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№</w:t>
            </w:r>
          </w:p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proofErr w:type="spellStart"/>
            <w:r w:rsidRPr="00AF7395">
              <w:rPr>
                <w:sz w:val="22"/>
                <w:szCs w:val="22"/>
              </w:rPr>
              <w:t>пп</w:t>
            </w:r>
            <w:proofErr w:type="spellEnd"/>
            <w:r w:rsidRPr="00AF7395">
              <w:rPr>
                <w:sz w:val="22"/>
                <w:szCs w:val="22"/>
              </w:rPr>
              <w:t>.</w:t>
            </w:r>
          </w:p>
        </w:tc>
        <w:tc>
          <w:tcPr>
            <w:tcW w:w="847" w:type="pct"/>
            <w:vMerge w:val="restar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" w:type="pct"/>
            <w:vMerge w:val="restar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356" w:type="pct"/>
            <w:vMerge w:val="restar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Единица измерения</w:t>
            </w:r>
          </w:p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(по ОКЕИ)</w:t>
            </w:r>
          </w:p>
        </w:tc>
        <w:tc>
          <w:tcPr>
            <w:tcW w:w="2742" w:type="pct"/>
            <w:gridSpan w:val="11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486" w:type="pct"/>
            <w:vMerge w:val="restar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На конец </w:t>
            </w:r>
          </w:p>
          <w:p w:rsidR="00AE6706" w:rsidRPr="00AF7395" w:rsidRDefault="00B074D9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2025</w:t>
            </w:r>
          </w:p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(указывается год) года</w:t>
            </w:r>
          </w:p>
        </w:tc>
      </w:tr>
      <w:tr w:rsidR="00AE6706" w:rsidRPr="00AF7395" w:rsidTr="00A00D04">
        <w:trPr>
          <w:trHeight w:val="283"/>
          <w:tblHeader/>
        </w:trPr>
        <w:tc>
          <w:tcPr>
            <w:tcW w:w="215" w:type="pct"/>
            <w:vMerge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pct"/>
            <w:vMerge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" w:type="pct"/>
            <w:vMerge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vMerge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январь</w:t>
            </w:r>
          </w:p>
        </w:tc>
        <w:tc>
          <w:tcPr>
            <w:tcW w:w="265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февраль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март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апрель</w:t>
            </w:r>
          </w:p>
        </w:tc>
        <w:tc>
          <w:tcPr>
            <w:tcW w:w="221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май</w:t>
            </w:r>
          </w:p>
        </w:tc>
        <w:tc>
          <w:tcPr>
            <w:tcW w:w="221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июнь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июль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август</w:t>
            </w:r>
          </w:p>
        </w:tc>
        <w:tc>
          <w:tcPr>
            <w:tcW w:w="310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сентябрь</w:t>
            </w:r>
          </w:p>
        </w:tc>
        <w:tc>
          <w:tcPr>
            <w:tcW w:w="265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октябрь</w:t>
            </w:r>
          </w:p>
        </w:tc>
        <w:tc>
          <w:tcPr>
            <w:tcW w:w="306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ноябрь</w:t>
            </w:r>
          </w:p>
        </w:tc>
        <w:tc>
          <w:tcPr>
            <w:tcW w:w="486" w:type="pct"/>
            <w:vMerge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</w:p>
        </w:tc>
      </w:tr>
      <w:tr w:rsidR="00AE6706" w:rsidRPr="00AF7395" w:rsidTr="00A00D04">
        <w:trPr>
          <w:trHeight w:val="283"/>
          <w:tblHeader/>
        </w:trPr>
        <w:tc>
          <w:tcPr>
            <w:tcW w:w="215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</w:t>
            </w:r>
          </w:p>
        </w:tc>
        <w:tc>
          <w:tcPr>
            <w:tcW w:w="847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</w:t>
            </w:r>
          </w:p>
        </w:tc>
        <w:tc>
          <w:tcPr>
            <w:tcW w:w="354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</w:t>
            </w:r>
          </w:p>
        </w:tc>
        <w:tc>
          <w:tcPr>
            <w:tcW w:w="356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4</w:t>
            </w:r>
          </w:p>
        </w:tc>
        <w:tc>
          <w:tcPr>
            <w:tcW w:w="266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5</w:t>
            </w:r>
          </w:p>
        </w:tc>
        <w:tc>
          <w:tcPr>
            <w:tcW w:w="265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6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7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8</w:t>
            </w:r>
          </w:p>
        </w:tc>
        <w:tc>
          <w:tcPr>
            <w:tcW w:w="221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9</w:t>
            </w:r>
          </w:p>
        </w:tc>
        <w:tc>
          <w:tcPr>
            <w:tcW w:w="221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11</w:t>
            </w:r>
          </w:p>
        </w:tc>
        <w:tc>
          <w:tcPr>
            <w:tcW w:w="222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12</w:t>
            </w:r>
          </w:p>
        </w:tc>
        <w:tc>
          <w:tcPr>
            <w:tcW w:w="310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13</w:t>
            </w:r>
          </w:p>
        </w:tc>
        <w:tc>
          <w:tcPr>
            <w:tcW w:w="265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14</w:t>
            </w:r>
          </w:p>
        </w:tc>
        <w:tc>
          <w:tcPr>
            <w:tcW w:w="306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15</w:t>
            </w:r>
          </w:p>
        </w:tc>
        <w:tc>
          <w:tcPr>
            <w:tcW w:w="486" w:type="pct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16</w:t>
            </w:r>
          </w:p>
        </w:tc>
      </w:tr>
      <w:tr w:rsidR="00AE6706" w:rsidRPr="00AF7395" w:rsidTr="00A00D04">
        <w:trPr>
          <w:trHeight w:val="283"/>
        </w:trPr>
        <w:tc>
          <w:tcPr>
            <w:tcW w:w="5000" w:type="pct"/>
            <w:gridSpan w:val="16"/>
            <w:vAlign w:val="center"/>
          </w:tcPr>
          <w:p w:rsidR="00AE6706" w:rsidRPr="00AF7395" w:rsidRDefault="00AE6706" w:rsidP="00A00D04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Цель муниципальной программы (комплексной программы) № 1 </w:t>
            </w:r>
          </w:p>
          <w:p w:rsidR="00AE6706" w:rsidRPr="00AF7395" w:rsidRDefault="00AE6706" w:rsidP="002D45BE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«</w:t>
            </w:r>
            <w:r w:rsidR="00B074D9" w:rsidRPr="00AF7395">
              <w:rPr>
                <w:sz w:val="22"/>
                <w:szCs w:val="22"/>
              </w:rPr>
              <w:t>Доля граждан, использующих механизм получения государственных и муниципальных услуг в электронной форме</w:t>
            </w:r>
            <w:r w:rsidRPr="00AF7395">
              <w:rPr>
                <w:sz w:val="22"/>
                <w:szCs w:val="22"/>
              </w:rPr>
              <w:t>»</w:t>
            </w:r>
          </w:p>
        </w:tc>
      </w:tr>
      <w:tr w:rsidR="00B074D9" w:rsidRPr="00AF7395" w:rsidTr="00A00D04">
        <w:trPr>
          <w:trHeight w:val="283"/>
        </w:trPr>
        <w:tc>
          <w:tcPr>
            <w:tcW w:w="21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1.1.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4D9" w:rsidRPr="00AF7395" w:rsidRDefault="00B074D9" w:rsidP="00B074D9">
            <w:pPr>
              <w:rPr>
                <w:sz w:val="22"/>
                <w:szCs w:val="22"/>
                <w:highlight w:val="yellow"/>
              </w:rPr>
            </w:pPr>
            <w:r w:rsidRPr="00AF7395">
              <w:rPr>
                <w:sz w:val="22"/>
                <w:szCs w:val="22"/>
              </w:rPr>
              <w:t>Доля объектов органов местного самоуправления, обеспеченных информационно-коммуникационной инфраструктурой связи</w:t>
            </w:r>
          </w:p>
        </w:tc>
        <w:tc>
          <w:tcPr>
            <w:tcW w:w="354" w:type="pct"/>
            <w:vAlign w:val="center"/>
          </w:tcPr>
          <w:p w:rsidR="00B074D9" w:rsidRPr="00AF7395" w:rsidRDefault="00B074D9" w:rsidP="00B074D9">
            <w:pPr>
              <w:rPr>
                <w:sz w:val="22"/>
                <w:szCs w:val="22"/>
                <w:u w:color="000000"/>
              </w:rPr>
            </w:pPr>
            <w:r w:rsidRPr="00AF7395">
              <w:rPr>
                <w:sz w:val="22"/>
                <w:szCs w:val="22"/>
                <w:u w:color="000000"/>
              </w:rPr>
              <w:t>МП</w:t>
            </w:r>
          </w:p>
        </w:tc>
        <w:tc>
          <w:tcPr>
            <w:tcW w:w="356" w:type="pct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%</w:t>
            </w:r>
          </w:p>
        </w:tc>
        <w:tc>
          <w:tcPr>
            <w:tcW w:w="266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5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6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</w:tr>
      <w:tr w:rsidR="00B074D9" w:rsidRPr="00AF7395" w:rsidTr="00A00D04">
        <w:trPr>
          <w:trHeight w:val="283"/>
        </w:trPr>
        <w:tc>
          <w:tcPr>
            <w:tcW w:w="21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lastRenderedPageBreak/>
              <w:t>1.2</w:t>
            </w:r>
            <w:r w:rsidRPr="00AF739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4D9" w:rsidRPr="00AF7395" w:rsidRDefault="00B074D9" w:rsidP="00B074D9">
            <w:pPr>
              <w:rPr>
                <w:sz w:val="22"/>
                <w:szCs w:val="22"/>
                <w:highlight w:val="yellow"/>
              </w:rPr>
            </w:pPr>
            <w:r w:rsidRPr="00AF7395">
              <w:rPr>
                <w:sz w:val="22"/>
                <w:szCs w:val="22"/>
              </w:rPr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  <w:tc>
          <w:tcPr>
            <w:tcW w:w="354" w:type="pct"/>
            <w:vAlign w:val="center"/>
          </w:tcPr>
          <w:p w:rsidR="00B074D9" w:rsidRPr="00AF7395" w:rsidRDefault="00B074D9" w:rsidP="00B074D9">
            <w:pPr>
              <w:rPr>
                <w:sz w:val="22"/>
                <w:szCs w:val="22"/>
                <w:u w:color="000000"/>
              </w:rPr>
            </w:pPr>
            <w:r w:rsidRPr="00AF7395">
              <w:rPr>
                <w:sz w:val="22"/>
                <w:szCs w:val="22"/>
                <w:u w:color="000000"/>
              </w:rPr>
              <w:t>МП</w:t>
            </w:r>
          </w:p>
        </w:tc>
        <w:tc>
          <w:tcPr>
            <w:tcW w:w="356" w:type="pct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%</w:t>
            </w:r>
          </w:p>
        </w:tc>
        <w:tc>
          <w:tcPr>
            <w:tcW w:w="266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5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6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</w:tr>
      <w:tr w:rsidR="00B074D9" w:rsidRPr="00AF7395" w:rsidTr="00A00D04">
        <w:trPr>
          <w:trHeight w:val="283"/>
        </w:trPr>
        <w:tc>
          <w:tcPr>
            <w:tcW w:w="21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1.3.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4D9" w:rsidRPr="00AF7395" w:rsidRDefault="00B074D9" w:rsidP="00B074D9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Уровень соответствия серверного оборудования и программного обеспечения потребностям органам местного самоуправления</w:t>
            </w:r>
          </w:p>
        </w:tc>
        <w:tc>
          <w:tcPr>
            <w:tcW w:w="354" w:type="pct"/>
            <w:vAlign w:val="center"/>
          </w:tcPr>
          <w:p w:rsidR="00B074D9" w:rsidRPr="00AF7395" w:rsidRDefault="00B074D9" w:rsidP="00B074D9">
            <w:pPr>
              <w:rPr>
                <w:sz w:val="22"/>
                <w:szCs w:val="22"/>
                <w:u w:color="000000"/>
              </w:rPr>
            </w:pPr>
            <w:r w:rsidRPr="00AF7395">
              <w:rPr>
                <w:sz w:val="22"/>
                <w:szCs w:val="22"/>
                <w:u w:color="000000"/>
              </w:rPr>
              <w:t>МП</w:t>
            </w:r>
          </w:p>
        </w:tc>
        <w:tc>
          <w:tcPr>
            <w:tcW w:w="356" w:type="pct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%</w:t>
            </w:r>
          </w:p>
        </w:tc>
        <w:tc>
          <w:tcPr>
            <w:tcW w:w="266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5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6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</w:tr>
      <w:tr w:rsidR="00B074D9" w:rsidRPr="00AF7395" w:rsidTr="00A00D04">
        <w:trPr>
          <w:trHeight w:val="283"/>
        </w:trPr>
        <w:tc>
          <w:tcPr>
            <w:tcW w:w="5000" w:type="pct"/>
            <w:gridSpan w:val="16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Цель муниципальной программы (комплексной программы) № 2 </w:t>
            </w:r>
          </w:p>
          <w:p w:rsidR="00B074D9" w:rsidRPr="00AF7395" w:rsidRDefault="00B074D9" w:rsidP="002D45BE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«Доля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форме»</w:t>
            </w:r>
          </w:p>
        </w:tc>
      </w:tr>
      <w:tr w:rsidR="00B074D9" w:rsidRPr="00AF7395" w:rsidTr="00A00D04">
        <w:trPr>
          <w:trHeight w:val="283"/>
        </w:trPr>
        <w:tc>
          <w:tcPr>
            <w:tcW w:w="21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2.1.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4D9" w:rsidRPr="00AF7395" w:rsidRDefault="00B074D9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Доля охвата специализированными программными продуктами в части технического сопровождения деятельности органов местного самоуправления</w:t>
            </w:r>
          </w:p>
        </w:tc>
        <w:tc>
          <w:tcPr>
            <w:tcW w:w="354" w:type="pct"/>
            <w:vAlign w:val="center"/>
          </w:tcPr>
          <w:p w:rsidR="00B074D9" w:rsidRPr="00AF7395" w:rsidRDefault="00B074D9" w:rsidP="00B074D9">
            <w:pPr>
              <w:rPr>
                <w:sz w:val="22"/>
                <w:szCs w:val="22"/>
                <w:u w:color="000000"/>
              </w:rPr>
            </w:pPr>
            <w:r w:rsidRPr="00AF7395">
              <w:rPr>
                <w:sz w:val="22"/>
                <w:szCs w:val="22"/>
                <w:u w:color="000000"/>
              </w:rPr>
              <w:t>МП</w:t>
            </w:r>
          </w:p>
        </w:tc>
        <w:tc>
          <w:tcPr>
            <w:tcW w:w="356" w:type="pct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%</w:t>
            </w:r>
          </w:p>
        </w:tc>
        <w:tc>
          <w:tcPr>
            <w:tcW w:w="266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5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6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</w:tr>
      <w:tr w:rsidR="00B074D9" w:rsidRPr="00AF7395" w:rsidTr="00A00D04">
        <w:trPr>
          <w:trHeight w:val="283"/>
        </w:trPr>
        <w:tc>
          <w:tcPr>
            <w:tcW w:w="21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2.2.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74D9" w:rsidRPr="00AF7395" w:rsidRDefault="00B074D9" w:rsidP="00B074D9">
            <w:pPr>
              <w:rPr>
                <w:spacing w:val="-2"/>
                <w:sz w:val="22"/>
                <w:szCs w:val="22"/>
              </w:rPr>
            </w:pPr>
            <w:r w:rsidRPr="00AF7395">
              <w:rPr>
                <w:spacing w:val="-2"/>
                <w:sz w:val="22"/>
                <w:szCs w:val="22"/>
              </w:rPr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  <w:tc>
          <w:tcPr>
            <w:tcW w:w="354" w:type="pct"/>
            <w:vAlign w:val="center"/>
          </w:tcPr>
          <w:p w:rsidR="00B074D9" w:rsidRPr="00AF7395" w:rsidRDefault="00B074D9" w:rsidP="00B074D9">
            <w:pPr>
              <w:rPr>
                <w:sz w:val="22"/>
                <w:szCs w:val="22"/>
                <w:u w:color="000000"/>
              </w:rPr>
            </w:pPr>
            <w:r w:rsidRPr="00AF7395">
              <w:rPr>
                <w:sz w:val="22"/>
                <w:szCs w:val="22"/>
                <w:u w:color="000000"/>
              </w:rPr>
              <w:t>МП</w:t>
            </w:r>
          </w:p>
        </w:tc>
        <w:tc>
          <w:tcPr>
            <w:tcW w:w="356" w:type="pct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%</w:t>
            </w:r>
          </w:p>
        </w:tc>
        <w:tc>
          <w:tcPr>
            <w:tcW w:w="266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65" w:type="pct"/>
          </w:tcPr>
          <w:p w:rsidR="00B074D9" w:rsidRPr="00AF7395" w:rsidRDefault="00B074D9" w:rsidP="00B074D9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  <w:tc>
          <w:tcPr>
            <w:tcW w:w="265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pct"/>
            <w:vAlign w:val="center"/>
          </w:tcPr>
          <w:p w:rsidR="00B074D9" w:rsidRPr="00AF7395" w:rsidRDefault="00B074D9" w:rsidP="00B074D9">
            <w:pPr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100</w:t>
            </w:r>
          </w:p>
        </w:tc>
      </w:tr>
    </w:tbl>
    <w:p w:rsidR="00AF7395" w:rsidRPr="00644D35" w:rsidRDefault="00AF7395" w:rsidP="00AF7395">
      <w:pPr>
        <w:spacing w:line="259" w:lineRule="auto"/>
        <w:rPr>
          <w:sz w:val="22"/>
          <w:szCs w:val="22"/>
        </w:rPr>
      </w:pPr>
    </w:p>
    <w:p w:rsidR="00AF7395" w:rsidRPr="00644D35" w:rsidRDefault="00AF7395" w:rsidP="00AF7395">
      <w:pPr>
        <w:spacing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4. Структура муниципальной программы</w:t>
      </w:r>
    </w:p>
    <w:p w:rsidR="00AF7395" w:rsidRPr="00644D35" w:rsidRDefault="00AF7395" w:rsidP="00AF7395">
      <w:pPr>
        <w:spacing w:line="259" w:lineRule="auto"/>
        <w:ind w:left="3648"/>
        <w:rPr>
          <w:sz w:val="22"/>
          <w:szCs w:val="22"/>
        </w:rPr>
      </w:pPr>
    </w:p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7"/>
        <w:gridCol w:w="6067"/>
        <w:gridCol w:w="4883"/>
        <w:gridCol w:w="4290"/>
      </w:tblGrid>
      <w:tr w:rsidR="00AE6706" w:rsidRPr="00AF7395" w:rsidTr="00A00D04">
        <w:trPr>
          <w:trHeight w:val="20"/>
          <w:tblHeader/>
        </w:trPr>
        <w:tc>
          <w:tcPr>
            <w:tcW w:w="275" w:type="pct"/>
            <w:vAlign w:val="center"/>
            <w:hideMark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F7395">
              <w:rPr>
                <w:sz w:val="22"/>
                <w:szCs w:val="22"/>
              </w:rPr>
              <w:lastRenderedPageBreak/>
              <w:t>№</w:t>
            </w:r>
          </w:p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F7395">
              <w:rPr>
                <w:sz w:val="22"/>
                <w:szCs w:val="22"/>
              </w:rPr>
              <w:t>пп</w:t>
            </w:r>
            <w:proofErr w:type="spellEnd"/>
            <w:r w:rsidRPr="00AF7395">
              <w:rPr>
                <w:sz w:val="22"/>
                <w:szCs w:val="22"/>
              </w:rPr>
              <w:t>.</w:t>
            </w:r>
          </w:p>
        </w:tc>
        <w:tc>
          <w:tcPr>
            <w:tcW w:w="1881" w:type="pct"/>
            <w:vAlign w:val="center"/>
            <w:hideMark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1514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Связь с показателями</w:t>
            </w:r>
          </w:p>
        </w:tc>
      </w:tr>
    </w:tbl>
    <w:p w:rsidR="00AE6706" w:rsidRPr="00D66B46" w:rsidRDefault="00AE6706" w:rsidP="00AE6706">
      <w:pPr>
        <w:rPr>
          <w:sz w:val="2"/>
          <w:szCs w:val="2"/>
        </w:rPr>
      </w:pPr>
    </w:p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7"/>
        <w:gridCol w:w="6067"/>
        <w:gridCol w:w="4883"/>
        <w:gridCol w:w="4290"/>
      </w:tblGrid>
      <w:tr w:rsidR="00AE6706" w:rsidRPr="00AF7395" w:rsidTr="00A00D04">
        <w:trPr>
          <w:trHeight w:val="20"/>
          <w:tblHeader/>
        </w:trPr>
        <w:tc>
          <w:tcPr>
            <w:tcW w:w="275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81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14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30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4</w:t>
            </w:r>
          </w:p>
        </w:tc>
      </w:tr>
      <w:tr w:rsidR="00AE6706" w:rsidRPr="00AF7395" w:rsidTr="00A00D04">
        <w:trPr>
          <w:trHeight w:val="20"/>
        </w:trPr>
        <w:tc>
          <w:tcPr>
            <w:tcW w:w="275" w:type="pct"/>
            <w:vAlign w:val="center"/>
          </w:tcPr>
          <w:p w:rsidR="00AE6706" w:rsidRPr="00AF7395" w:rsidRDefault="00A00D04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AF7395">
              <w:rPr>
                <w:b/>
                <w:sz w:val="22"/>
                <w:szCs w:val="22"/>
                <w:lang w:val="en-US"/>
              </w:rPr>
              <w:t>1.</w:t>
            </w:r>
            <w:r w:rsidRPr="00AF7395">
              <w:rPr>
                <w:b/>
                <w:sz w:val="22"/>
                <w:szCs w:val="22"/>
              </w:rPr>
              <w:t>1</w:t>
            </w:r>
            <w:r w:rsidR="00AE6706" w:rsidRPr="00AF7395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4725" w:type="pct"/>
            <w:gridSpan w:val="3"/>
            <w:vAlign w:val="center"/>
          </w:tcPr>
          <w:p w:rsidR="00AE6706" w:rsidRPr="00AF7395" w:rsidRDefault="00AE6706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Комплекс процессных мероприятий «</w:t>
            </w:r>
            <w:r w:rsidR="004B108C" w:rsidRPr="00AF7395">
              <w:rPr>
                <w:b/>
                <w:sz w:val="22"/>
                <w:szCs w:val="22"/>
              </w:rPr>
              <w:t>Развитие</w:t>
            </w:r>
            <w:r w:rsidR="002B0A47" w:rsidRPr="00AF7395">
              <w:rPr>
                <w:b/>
                <w:sz w:val="22"/>
                <w:szCs w:val="22"/>
              </w:rPr>
              <w:t xml:space="preserve"> </w:t>
            </w:r>
            <w:r w:rsidR="004B108C" w:rsidRPr="00AF7395">
              <w:rPr>
                <w:b/>
                <w:sz w:val="22"/>
                <w:szCs w:val="22"/>
              </w:rPr>
              <w:t>и модернизация информационно-коммуникационной</w:t>
            </w:r>
            <w:r w:rsidR="002B0A47" w:rsidRPr="00AF7395">
              <w:rPr>
                <w:b/>
                <w:sz w:val="22"/>
                <w:szCs w:val="22"/>
              </w:rPr>
              <w:t xml:space="preserve"> </w:t>
            </w:r>
            <w:r w:rsidR="004B108C" w:rsidRPr="00AF7395">
              <w:rPr>
                <w:b/>
                <w:sz w:val="22"/>
                <w:szCs w:val="22"/>
              </w:rPr>
              <w:t>инфраструктуры связи</w:t>
            </w:r>
            <w:r w:rsidRPr="00AF7395">
              <w:rPr>
                <w:b/>
                <w:sz w:val="22"/>
                <w:szCs w:val="22"/>
              </w:rPr>
              <w:t>»</w:t>
            </w:r>
          </w:p>
        </w:tc>
      </w:tr>
      <w:tr w:rsidR="00AE6706" w:rsidRPr="00AF7395" w:rsidTr="00A00D04">
        <w:trPr>
          <w:trHeight w:val="20"/>
        </w:trPr>
        <w:tc>
          <w:tcPr>
            <w:tcW w:w="275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AF7395">
              <w:rPr>
                <w:sz w:val="22"/>
                <w:szCs w:val="22"/>
              </w:rPr>
              <w:t>Ответственный</w:t>
            </w:r>
            <w:proofErr w:type="gramEnd"/>
            <w:r w:rsidRPr="00AF7395">
              <w:rPr>
                <w:sz w:val="22"/>
                <w:szCs w:val="22"/>
              </w:rPr>
              <w:t xml:space="preserve"> за реализацию</w:t>
            </w:r>
            <w:r w:rsidR="00A00D04" w:rsidRPr="00AF7395">
              <w:rPr>
                <w:sz w:val="22"/>
                <w:szCs w:val="22"/>
              </w:rPr>
              <w:t>:</w:t>
            </w:r>
            <w:r w:rsidRPr="00AF7395">
              <w:rPr>
                <w:sz w:val="22"/>
                <w:szCs w:val="22"/>
              </w:rPr>
              <w:t xml:space="preserve"> </w:t>
            </w:r>
            <w:proofErr w:type="gramStart"/>
            <w:r w:rsidR="00A00D04" w:rsidRPr="00AF7395">
              <w:rPr>
                <w:sz w:val="22"/>
                <w:szCs w:val="22"/>
              </w:rPr>
              <w:t xml:space="preserve">Администрация Губкинского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Боброводворская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Вислодубравская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Истобнянская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</w:t>
            </w:r>
            <w:proofErr w:type="gramEnd"/>
            <w:r w:rsidR="00A00D04" w:rsidRPr="00AF7395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A00D04" w:rsidRPr="00AF7395">
              <w:rPr>
                <w:sz w:val="22"/>
                <w:szCs w:val="22"/>
              </w:rPr>
              <w:t>Коньшинская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Никаноровская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Скороднянская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Чуевская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Осколецкая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Сапрыкинская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Теплоколодезянская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Мелавская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Толстянская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="00A00D04" w:rsidRPr="00AF7395">
              <w:rPr>
                <w:sz w:val="22"/>
                <w:szCs w:val="22"/>
              </w:rPr>
              <w:t>Уколовская</w:t>
            </w:r>
            <w:proofErr w:type="spellEnd"/>
            <w:r w:rsidR="00A00D04" w:rsidRPr="00AF7395">
              <w:rPr>
                <w:sz w:val="22"/>
                <w:szCs w:val="22"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  <w:proofErr w:type="gramEnd"/>
          </w:p>
        </w:tc>
        <w:tc>
          <w:tcPr>
            <w:tcW w:w="2844" w:type="pct"/>
            <w:gridSpan w:val="2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Срок реализации: </w:t>
            </w:r>
            <w:r w:rsidR="004B108C" w:rsidRPr="00AF7395">
              <w:rPr>
                <w:sz w:val="22"/>
                <w:szCs w:val="22"/>
              </w:rPr>
              <w:t>2025-2030</w:t>
            </w:r>
          </w:p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(год начала - год окончания)</w:t>
            </w:r>
          </w:p>
        </w:tc>
      </w:tr>
      <w:tr w:rsidR="00AE6706" w:rsidRPr="00AF7395" w:rsidTr="00A00D04">
        <w:trPr>
          <w:trHeight w:val="20"/>
        </w:trPr>
        <w:tc>
          <w:tcPr>
            <w:tcW w:w="275" w:type="pct"/>
            <w:vAlign w:val="center"/>
          </w:tcPr>
          <w:p w:rsidR="00AE6706" w:rsidRPr="00AF7395" w:rsidRDefault="00AE6706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AF7395">
              <w:rPr>
                <w:sz w:val="22"/>
                <w:szCs w:val="22"/>
              </w:rPr>
              <w:t>1.</w:t>
            </w:r>
            <w:r w:rsidR="00A00D04" w:rsidRPr="00AF7395">
              <w:rPr>
                <w:sz w:val="22"/>
                <w:szCs w:val="22"/>
              </w:rPr>
              <w:t>1</w:t>
            </w:r>
            <w:r w:rsidRPr="00AF7395">
              <w:rPr>
                <w:sz w:val="22"/>
                <w:szCs w:val="22"/>
                <w:lang w:val="en-US"/>
              </w:rPr>
              <w:t>.1.</w:t>
            </w:r>
          </w:p>
        </w:tc>
        <w:tc>
          <w:tcPr>
            <w:tcW w:w="1881" w:type="pct"/>
            <w:vAlign w:val="center"/>
          </w:tcPr>
          <w:p w:rsidR="00AE6706" w:rsidRPr="00AF7395" w:rsidRDefault="009D4580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Задача 1 "Развитие и модернизация информационно-телекоммуникационной инфраструктуры информационного общества"</w:t>
            </w:r>
          </w:p>
        </w:tc>
        <w:tc>
          <w:tcPr>
            <w:tcW w:w="1514" w:type="pct"/>
            <w:vAlign w:val="center"/>
          </w:tcPr>
          <w:p w:rsidR="004B108C" w:rsidRPr="00AF7395" w:rsidRDefault="004B108C" w:rsidP="004B10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1. Развитие и модернизация телекоммуникационных сетей, приобретение и модернизация коммутационного и </w:t>
            </w:r>
            <w:r w:rsidRPr="00AF7395">
              <w:rPr>
                <w:sz w:val="22"/>
                <w:szCs w:val="22"/>
              </w:rPr>
              <w:lastRenderedPageBreak/>
              <w:t>мультимедийного оборудования, оплата услуг связи.</w:t>
            </w:r>
          </w:p>
          <w:p w:rsidR="004B108C" w:rsidRPr="00AF7395" w:rsidRDefault="004B108C" w:rsidP="004B10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2. Создание и развитие информационно-коммуникационной сети.</w:t>
            </w:r>
          </w:p>
          <w:p w:rsidR="004B108C" w:rsidRPr="00AF7395" w:rsidRDefault="004B108C" w:rsidP="004B10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3. Создание, развитие и обеспечение функционирования системы видео-конференц-связи (источники сигнала, подсистема отображения, звукоусиления, коммутации) в администрации Губкинского городского округа и иных органах местного самоуправления Губкинского городского округа.</w:t>
            </w:r>
          </w:p>
          <w:p w:rsidR="004B108C" w:rsidRPr="00AF7395" w:rsidRDefault="004B108C" w:rsidP="004B10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4. Создание, техническое обслуживание (сопровождение) и ремонт локальных вычислительных сетей и систем видеонаблюдения, необходимых для обеспечения деятельности Главы администрации Губкинского городского округа, администрации Губкинского городского округа и органов местного самоуправления Губкинского городского округа.</w:t>
            </w:r>
          </w:p>
          <w:p w:rsidR="004B108C" w:rsidRPr="00AF7395" w:rsidRDefault="004B108C" w:rsidP="004B10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5. Установка и обеспечение функционирования системы контроля и управления доступа с применением пластиковых ка</w:t>
            </w:r>
            <w:proofErr w:type="gramStart"/>
            <w:r w:rsidRPr="00AF7395">
              <w:rPr>
                <w:sz w:val="22"/>
                <w:szCs w:val="22"/>
              </w:rPr>
              <w:t>рт с пр</w:t>
            </w:r>
            <w:proofErr w:type="gramEnd"/>
            <w:r w:rsidRPr="00AF7395">
              <w:rPr>
                <w:sz w:val="22"/>
                <w:szCs w:val="22"/>
              </w:rPr>
              <w:t>едоставлением высокого уровня безопасности и скорости прохода без участия человека (сотрудника охраны).</w:t>
            </w:r>
          </w:p>
          <w:p w:rsidR="00AE6706" w:rsidRPr="00AF7395" w:rsidRDefault="004B108C" w:rsidP="004B10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6. Обеспечение </w:t>
            </w:r>
            <w:proofErr w:type="gramStart"/>
            <w:r w:rsidRPr="00AF7395">
              <w:rPr>
                <w:sz w:val="22"/>
                <w:szCs w:val="22"/>
              </w:rPr>
              <w:t>повышения квалификации сотрудников отдела информационных технологий</w:t>
            </w:r>
            <w:proofErr w:type="gramEnd"/>
            <w:r w:rsidRPr="00AF7395">
              <w:rPr>
                <w:sz w:val="22"/>
                <w:szCs w:val="22"/>
              </w:rPr>
              <w:t xml:space="preserve"> и коммуникаций управления массовых коммуникаций и информационных технологий в рамках реализуемого основного мероприятия</w:t>
            </w:r>
          </w:p>
        </w:tc>
        <w:tc>
          <w:tcPr>
            <w:tcW w:w="1330" w:type="pct"/>
            <w:vAlign w:val="center"/>
          </w:tcPr>
          <w:p w:rsidR="00AE6706" w:rsidRPr="00AF7395" w:rsidRDefault="004B108C" w:rsidP="00A00D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AF7395">
              <w:rPr>
                <w:sz w:val="22"/>
                <w:szCs w:val="22"/>
              </w:rPr>
              <w:lastRenderedPageBreak/>
              <w:t xml:space="preserve">Доля объектов органов местного самоуправления, обеспеченных информационно-коммуникационной </w:t>
            </w:r>
            <w:r w:rsidRPr="00AF7395">
              <w:rPr>
                <w:sz w:val="22"/>
                <w:szCs w:val="22"/>
              </w:rPr>
              <w:lastRenderedPageBreak/>
              <w:t>инфраструктурой связи</w:t>
            </w:r>
          </w:p>
        </w:tc>
      </w:tr>
      <w:tr w:rsidR="00A00D04" w:rsidRPr="00AF7395" w:rsidTr="00A00D04">
        <w:trPr>
          <w:trHeight w:val="20"/>
        </w:trPr>
        <w:tc>
          <w:tcPr>
            <w:tcW w:w="275" w:type="pct"/>
            <w:vAlign w:val="center"/>
          </w:tcPr>
          <w:p w:rsidR="00A00D04" w:rsidRPr="00AF7395" w:rsidRDefault="00A00D04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lastRenderedPageBreak/>
              <w:t>1.2.</w:t>
            </w:r>
          </w:p>
        </w:tc>
        <w:tc>
          <w:tcPr>
            <w:tcW w:w="4725" w:type="pct"/>
            <w:gridSpan w:val="3"/>
            <w:vAlign w:val="center"/>
          </w:tcPr>
          <w:p w:rsidR="00A00D04" w:rsidRPr="00AF7395" w:rsidRDefault="00A00D04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Комплекс процессных мероприятий «Модернизация</w:t>
            </w:r>
            <w:r w:rsidR="002B0A47" w:rsidRPr="00AF7395">
              <w:rPr>
                <w:b/>
                <w:sz w:val="22"/>
                <w:szCs w:val="22"/>
              </w:rPr>
              <w:t xml:space="preserve"> </w:t>
            </w:r>
            <w:r w:rsidRPr="00AF7395">
              <w:rPr>
                <w:b/>
                <w:sz w:val="22"/>
                <w:szCs w:val="22"/>
              </w:rPr>
              <w:t>и развитие цифровой инфраструктуры»</w:t>
            </w:r>
          </w:p>
        </w:tc>
      </w:tr>
      <w:tr w:rsidR="00A00D04" w:rsidRPr="00AF7395" w:rsidTr="00A00D04">
        <w:trPr>
          <w:trHeight w:val="20"/>
        </w:trPr>
        <w:tc>
          <w:tcPr>
            <w:tcW w:w="275" w:type="pct"/>
            <w:vAlign w:val="center"/>
          </w:tcPr>
          <w:p w:rsidR="00A00D04" w:rsidRPr="00AF7395" w:rsidRDefault="00A00D04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A00D04" w:rsidRPr="00AF7395" w:rsidRDefault="00A00D04" w:rsidP="00A00D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AF7395">
              <w:rPr>
                <w:sz w:val="22"/>
                <w:szCs w:val="22"/>
              </w:rPr>
              <w:t>Ответственный</w:t>
            </w:r>
            <w:proofErr w:type="gramEnd"/>
            <w:r w:rsidRPr="00AF7395">
              <w:rPr>
                <w:sz w:val="22"/>
                <w:szCs w:val="22"/>
              </w:rPr>
              <w:t xml:space="preserve"> за реализацию: </w:t>
            </w:r>
            <w:proofErr w:type="gramStart"/>
            <w:r w:rsidRPr="00AF7395">
              <w:rPr>
                <w:sz w:val="22"/>
                <w:szCs w:val="22"/>
              </w:rPr>
              <w:t xml:space="preserve">Администрация Губкинского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</w:t>
            </w:r>
            <w:r w:rsidRPr="00AF7395">
              <w:rPr>
                <w:sz w:val="22"/>
                <w:szCs w:val="22"/>
              </w:rPr>
              <w:lastRenderedPageBreak/>
              <w:t xml:space="preserve">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Боброводворская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Вислодубравская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Истобнянская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</w:t>
            </w:r>
            <w:proofErr w:type="gramEnd"/>
            <w:r w:rsidRPr="00AF7395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AF7395">
              <w:rPr>
                <w:sz w:val="22"/>
                <w:szCs w:val="22"/>
              </w:rPr>
              <w:t>Коньшинская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Никаноровская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Скороднянская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Чуевская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Осколецкая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Сапрыкинская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Теплоколодезянская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Мелавская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Толстянская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Уколовская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  <w:proofErr w:type="gramEnd"/>
          </w:p>
        </w:tc>
        <w:tc>
          <w:tcPr>
            <w:tcW w:w="2844" w:type="pct"/>
            <w:gridSpan w:val="2"/>
            <w:vAlign w:val="center"/>
          </w:tcPr>
          <w:p w:rsidR="00A00D04" w:rsidRPr="00AF7395" w:rsidRDefault="00A00D04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lastRenderedPageBreak/>
              <w:t>Срок реализации: 2025-2030</w:t>
            </w:r>
          </w:p>
          <w:p w:rsidR="00A00D04" w:rsidRPr="00AF7395" w:rsidRDefault="00A00D04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(год начала - год окончания)</w:t>
            </w:r>
          </w:p>
        </w:tc>
      </w:tr>
      <w:tr w:rsidR="009D4580" w:rsidRPr="00AF7395" w:rsidTr="002D45BE">
        <w:trPr>
          <w:trHeight w:val="2320"/>
        </w:trPr>
        <w:tc>
          <w:tcPr>
            <w:tcW w:w="275" w:type="pct"/>
            <w:vAlign w:val="center"/>
          </w:tcPr>
          <w:p w:rsidR="009D4580" w:rsidRPr="00AF7395" w:rsidRDefault="009D4580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9D4580" w:rsidRPr="00AF7395" w:rsidRDefault="009D4580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Задача 1 "Увеличение вложений в современные решения в сфере информационных технологий"</w:t>
            </w:r>
          </w:p>
        </w:tc>
        <w:tc>
          <w:tcPr>
            <w:tcW w:w="1514" w:type="pct"/>
            <w:vAlign w:val="center"/>
          </w:tcPr>
          <w:p w:rsidR="009D4580" w:rsidRPr="00AF7395" w:rsidRDefault="009D4580" w:rsidP="009D45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1. Осуществлено приобретение и сопровождение программного обеспечения серверного оборудования и персональных компьютеров.</w:t>
            </w:r>
          </w:p>
          <w:p w:rsidR="009D4580" w:rsidRPr="00AF7395" w:rsidRDefault="009D4580" w:rsidP="009D4580">
            <w:pPr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2. Осуществлено оснащение, обслуживание, ремонт и утилизация компьютерного, серверного, мультимедийного оборудования и оргтехники</w:t>
            </w:r>
          </w:p>
          <w:p w:rsidR="009D4580" w:rsidRPr="00AF7395" w:rsidRDefault="009D4580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3. Осуществлено функционирование, модернизация и развитие серверного оборудования и его программного обеспечения</w:t>
            </w:r>
          </w:p>
        </w:tc>
        <w:tc>
          <w:tcPr>
            <w:tcW w:w="1330" w:type="pct"/>
          </w:tcPr>
          <w:p w:rsidR="009D4580" w:rsidRPr="00AF7395" w:rsidRDefault="009D4580" w:rsidP="00A00D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1. Доля обеспечения органов местного самоуправления средствами информатизации, соответствующими современным требованиям</w:t>
            </w:r>
          </w:p>
          <w:p w:rsidR="009D4580" w:rsidRPr="00AF7395" w:rsidRDefault="009D4580" w:rsidP="00A00D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2. Доля обеспечения органов местного самоуправления средствами информатизации, соответствующими современным требованиям</w:t>
            </w:r>
          </w:p>
          <w:p w:rsidR="009D4580" w:rsidRPr="00AF7395" w:rsidRDefault="009D4580" w:rsidP="009D45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3. Уровень соответствия серверного оборудования и программного обеспечения потребностям органам местного самоуправления</w:t>
            </w:r>
          </w:p>
        </w:tc>
      </w:tr>
      <w:tr w:rsidR="002B0A47" w:rsidRPr="00AF7395" w:rsidTr="002B0A47">
        <w:trPr>
          <w:trHeight w:val="20"/>
        </w:trPr>
        <w:tc>
          <w:tcPr>
            <w:tcW w:w="275" w:type="pct"/>
            <w:vAlign w:val="center"/>
          </w:tcPr>
          <w:p w:rsidR="002B0A47" w:rsidRPr="00AF7395" w:rsidRDefault="002B0A47" w:rsidP="00A00D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lastRenderedPageBreak/>
              <w:t>1.3</w:t>
            </w:r>
          </w:p>
        </w:tc>
        <w:tc>
          <w:tcPr>
            <w:tcW w:w="4725" w:type="pct"/>
            <w:gridSpan w:val="3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Комплекс процессных мероприятий «Создание, внедрение, сопровождение и обеспечение эксплуатации цифровых решений»</w:t>
            </w:r>
          </w:p>
        </w:tc>
      </w:tr>
      <w:tr w:rsidR="002B0A47" w:rsidRPr="00AF7395" w:rsidTr="002B0A47">
        <w:trPr>
          <w:trHeight w:val="20"/>
        </w:trPr>
        <w:tc>
          <w:tcPr>
            <w:tcW w:w="275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AF7395">
              <w:rPr>
                <w:sz w:val="22"/>
                <w:szCs w:val="22"/>
              </w:rPr>
              <w:t>Ответственный</w:t>
            </w:r>
            <w:proofErr w:type="gramEnd"/>
            <w:r w:rsidRPr="00AF7395">
              <w:rPr>
                <w:sz w:val="22"/>
                <w:szCs w:val="22"/>
              </w:rPr>
              <w:t xml:space="preserve"> за реализацию: </w:t>
            </w:r>
            <w:proofErr w:type="gramStart"/>
            <w:r w:rsidRPr="00AF7395">
              <w:rPr>
                <w:sz w:val="22"/>
                <w:szCs w:val="22"/>
              </w:rPr>
              <w:t xml:space="preserve">Администрация Губкинского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Боброводворская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Вислодубравская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Истобнянская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</w:t>
            </w:r>
            <w:proofErr w:type="gramEnd"/>
            <w:r w:rsidRPr="00AF7395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AF7395">
              <w:rPr>
                <w:sz w:val="22"/>
                <w:szCs w:val="22"/>
              </w:rPr>
              <w:t>Коньшинская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Никаноровская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Скороднянская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Чуевская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Осколецкая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Сапрыкинская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Теплоколодезянская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Мелавская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Толстянская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Уколовская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  <w:proofErr w:type="gramEnd"/>
          </w:p>
        </w:tc>
        <w:tc>
          <w:tcPr>
            <w:tcW w:w="2844" w:type="pct"/>
            <w:gridSpan w:val="2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Срок реализации: 2025-2030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(год начала - год окончания)</w:t>
            </w:r>
          </w:p>
        </w:tc>
      </w:tr>
      <w:tr w:rsidR="002B0A47" w:rsidRPr="00AF7395" w:rsidTr="00A00D04">
        <w:trPr>
          <w:trHeight w:val="20"/>
        </w:trPr>
        <w:tc>
          <w:tcPr>
            <w:tcW w:w="275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2B0A47" w:rsidRPr="00AF7395" w:rsidRDefault="009D4580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bCs/>
                <w:sz w:val="22"/>
                <w:szCs w:val="22"/>
              </w:rPr>
              <w:t>Задача 1 "</w:t>
            </w:r>
            <w:r w:rsidRPr="00AF7395">
              <w:rPr>
                <w:sz w:val="22"/>
                <w:szCs w:val="22"/>
              </w:rPr>
              <w:t xml:space="preserve"> </w:t>
            </w:r>
            <w:r w:rsidRPr="00AF7395">
              <w:rPr>
                <w:bCs/>
                <w:sz w:val="22"/>
                <w:szCs w:val="22"/>
              </w:rPr>
              <w:t>Развитие перспективных высокотехнологичных направлений в сфере информационных технологий "</w:t>
            </w:r>
          </w:p>
        </w:tc>
        <w:tc>
          <w:tcPr>
            <w:tcW w:w="1514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1. Приобретение, внедрение и сопровождение системного и прикладного программного обеспечения, лицензирование программно-технических комплексов и информационных систем.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2. Создание, внедрение, обеспечение эксплуатации и сопровождение автоматизированных </w:t>
            </w:r>
            <w:r w:rsidRPr="00AF7395">
              <w:rPr>
                <w:sz w:val="22"/>
                <w:szCs w:val="22"/>
              </w:rPr>
              <w:lastRenderedPageBreak/>
              <w:t>информационных систем.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3. Обеспечение эксплуатации, техническая поддержка и абонентское обслуживание информационных ресурсов.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4. Оказание услуг по обслуживанию сайтов органов местного самоуправления, поддержка муниципальных проектов в сфере информационных технологий.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5. Обеспечение мероприятий по достижению показателей "цифровой зрелости" органов местного самоуправления.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6. Приобретение, внедрение и сопровождение системного и прикладного программного обеспечения.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7. Обеспечение эксплуатации, техническая поддержка и абонентское обслуживание информационных ресурсов.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8. Обеспечение бесперебойного функционирования, создание, развитие и модернизация информационных систем органов местного самоуправления.</w:t>
            </w:r>
          </w:p>
        </w:tc>
        <w:tc>
          <w:tcPr>
            <w:tcW w:w="1330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lastRenderedPageBreak/>
              <w:t>Доля охвата специализированными программными продуктами в части технического сопровождения деятельности органов местного самоуправления</w:t>
            </w:r>
          </w:p>
        </w:tc>
      </w:tr>
      <w:tr w:rsidR="002B0A47" w:rsidRPr="00AF7395" w:rsidTr="002B0A47">
        <w:trPr>
          <w:trHeight w:val="20"/>
        </w:trPr>
        <w:tc>
          <w:tcPr>
            <w:tcW w:w="275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lastRenderedPageBreak/>
              <w:t>1.4</w:t>
            </w:r>
          </w:p>
        </w:tc>
        <w:tc>
          <w:tcPr>
            <w:tcW w:w="4725" w:type="pct"/>
            <w:gridSpan w:val="3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b/>
                <w:sz w:val="22"/>
                <w:szCs w:val="22"/>
              </w:rPr>
              <w:t>Комплекс процессных мероприятий «Обеспечение информационной безопасности в информационном обществе»</w:t>
            </w:r>
          </w:p>
        </w:tc>
      </w:tr>
      <w:tr w:rsidR="002B0A47" w:rsidRPr="00AF7395" w:rsidTr="002B0A47">
        <w:trPr>
          <w:trHeight w:val="20"/>
        </w:trPr>
        <w:tc>
          <w:tcPr>
            <w:tcW w:w="275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AF7395">
              <w:rPr>
                <w:sz w:val="22"/>
                <w:szCs w:val="22"/>
              </w:rPr>
              <w:t>Ответственный</w:t>
            </w:r>
            <w:proofErr w:type="gramEnd"/>
            <w:r w:rsidRPr="00AF7395">
              <w:rPr>
                <w:sz w:val="22"/>
                <w:szCs w:val="22"/>
              </w:rPr>
              <w:t xml:space="preserve"> за реализацию: </w:t>
            </w:r>
            <w:proofErr w:type="gramStart"/>
            <w:r w:rsidRPr="00AF7395">
              <w:rPr>
                <w:sz w:val="22"/>
                <w:szCs w:val="22"/>
              </w:rPr>
              <w:t xml:space="preserve">Администрация Губкинского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Боброводворская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Вислодубравская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Истобнянская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</w:t>
            </w:r>
            <w:proofErr w:type="gramEnd"/>
            <w:r w:rsidRPr="00AF7395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AF7395">
              <w:rPr>
                <w:sz w:val="22"/>
                <w:szCs w:val="22"/>
              </w:rPr>
              <w:t>Коньшинская</w:t>
            </w:r>
            <w:proofErr w:type="spellEnd"/>
            <w:r w:rsidRPr="00AF7395">
              <w:rPr>
                <w:sz w:val="22"/>
                <w:szCs w:val="22"/>
              </w:rPr>
              <w:t xml:space="preserve"> </w:t>
            </w:r>
            <w:r w:rsidRPr="00AF7395">
              <w:rPr>
                <w:sz w:val="22"/>
                <w:szCs w:val="22"/>
              </w:rPr>
              <w:lastRenderedPageBreak/>
              <w:t xml:space="preserve">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Никаноровская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Скороднянская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Чуевская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Осколецкая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Сапрыкинская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Теплоколодезянская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Мелавская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Толстянская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</w:t>
            </w:r>
            <w:proofErr w:type="spellStart"/>
            <w:r w:rsidRPr="00AF7395">
              <w:rPr>
                <w:sz w:val="22"/>
                <w:szCs w:val="22"/>
              </w:rPr>
              <w:t>Уколовская</w:t>
            </w:r>
            <w:proofErr w:type="spellEnd"/>
            <w:r w:rsidRPr="00AF7395">
              <w:rPr>
                <w:sz w:val="22"/>
                <w:szCs w:val="22"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  <w:proofErr w:type="gramEnd"/>
          </w:p>
        </w:tc>
        <w:tc>
          <w:tcPr>
            <w:tcW w:w="2844" w:type="pct"/>
            <w:gridSpan w:val="2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lastRenderedPageBreak/>
              <w:t>Срок реализации: 2025-2030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(год начала - год окончания)</w:t>
            </w:r>
          </w:p>
        </w:tc>
      </w:tr>
      <w:tr w:rsidR="002B0A47" w:rsidRPr="00AF7395" w:rsidTr="00A00D04">
        <w:trPr>
          <w:trHeight w:val="20"/>
        </w:trPr>
        <w:tc>
          <w:tcPr>
            <w:tcW w:w="275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pct"/>
            <w:vAlign w:val="center"/>
          </w:tcPr>
          <w:p w:rsidR="002B0A47" w:rsidRPr="00AF7395" w:rsidRDefault="009D4580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bCs/>
                <w:sz w:val="22"/>
                <w:szCs w:val="22"/>
              </w:rPr>
              <w:t>Задача 1 "Обеспечение защиты информации в информационных системах, а также обеспечение перехода на использование отечественного программного обеспечения "</w:t>
            </w:r>
          </w:p>
        </w:tc>
        <w:tc>
          <w:tcPr>
            <w:tcW w:w="1514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1. Обеспечение развития и функционирования системы защиты и мониторинга защищенности информационной инфраструктуры, информационных ресурсов, информационных систем исполнительных от компьютерных атак.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 xml:space="preserve">2. Обеспечение </w:t>
            </w:r>
            <w:proofErr w:type="gramStart"/>
            <w:r w:rsidRPr="00AF7395">
              <w:rPr>
                <w:sz w:val="22"/>
                <w:szCs w:val="22"/>
              </w:rPr>
              <w:t>контроля за</w:t>
            </w:r>
            <w:proofErr w:type="gramEnd"/>
            <w:r w:rsidRPr="00AF7395">
              <w:rPr>
                <w:sz w:val="22"/>
                <w:szCs w:val="22"/>
              </w:rPr>
              <w:t xml:space="preserve"> выполнением законодательства в области обработки персональных данных и защиты информации.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3. Обеспечение соблюдения требований по защите информации объектов информатизации, предназначенных для обработки с использованием технических средств и систем.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4. Оснащение средствами защиты информации объектов информатизации, обрабатывающих информацию ограниченного доступа.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5. Обеспечение мероприятий по выявлению и закрытию технических каналов утечки информации.</w:t>
            </w:r>
          </w:p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6. Проведение повышения квалификации специалистов в сфере защиты информации.</w:t>
            </w:r>
          </w:p>
        </w:tc>
        <w:tc>
          <w:tcPr>
            <w:tcW w:w="1330" w:type="pct"/>
            <w:vAlign w:val="center"/>
          </w:tcPr>
          <w:p w:rsidR="002B0A47" w:rsidRPr="00AF7395" w:rsidRDefault="002B0A47" w:rsidP="002B0A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7395">
              <w:rPr>
                <w:sz w:val="22"/>
                <w:szCs w:val="22"/>
              </w:rPr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</w:tr>
    </w:tbl>
    <w:p w:rsidR="00AF7395" w:rsidRPr="00644D35" w:rsidRDefault="00AF7395" w:rsidP="00AF7395">
      <w:pPr>
        <w:spacing w:after="252"/>
        <w:rPr>
          <w:b/>
          <w:bCs/>
          <w:sz w:val="22"/>
          <w:szCs w:val="22"/>
        </w:rPr>
      </w:pPr>
    </w:p>
    <w:p w:rsidR="00AF7395" w:rsidRPr="00644D35" w:rsidRDefault="00AF7395" w:rsidP="00AF7395">
      <w:pPr>
        <w:spacing w:after="252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lastRenderedPageBreak/>
        <w:t>5. Финансовое обеспечение муниципальной  программы</w:t>
      </w:r>
    </w:p>
    <w:p w:rsidR="00AF7395" w:rsidRPr="00644D35" w:rsidRDefault="00AF7395" w:rsidP="00AF7395">
      <w:pPr>
        <w:rPr>
          <w:sz w:val="22"/>
          <w:szCs w:val="22"/>
        </w:rPr>
      </w:pPr>
    </w:p>
    <w:p w:rsidR="00AE6706" w:rsidRPr="003B3A21" w:rsidRDefault="00AE6706" w:rsidP="00AE6706">
      <w:pPr>
        <w:jc w:val="right"/>
        <w:rPr>
          <w:sz w:val="10"/>
          <w:szCs w:val="10"/>
        </w:rPr>
      </w:pPr>
    </w:p>
    <w:tbl>
      <w:tblPr>
        <w:tblW w:w="5564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0"/>
        <w:gridCol w:w="5472"/>
        <w:gridCol w:w="1917"/>
        <w:gridCol w:w="1188"/>
        <w:gridCol w:w="1188"/>
        <w:gridCol w:w="1188"/>
        <w:gridCol w:w="1188"/>
        <w:gridCol w:w="1188"/>
        <w:gridCol w:w="1188"/>
        <w:gridCol w:w="1169"/>
      </w:tblGrid>
      <w:tr w:rsidR="00AA4093" w:rsidRPr="00D93D8A" w:rsidTr="00AA4093">
        <w:trPr>
          <w:trHeight w:val="20"/>
          <w:tblHeader/>
        </w:trPr>
        <w:tc>
          <w:tcPr>
            <w:tcW w:w="181" w:type="pct"/>
            <w:vMerge w:val="restart"/>
          </w:tcPr>
          <w:p w:rsidR="00AA4093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681" w:type="pct"/>
            <w:vMerge w:val="restart"/>
            <w:vAlign w:val="center"/>
          </w:tcPr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D93D8A">
              <w:rPr>
                <w:b/>
              </w:rPr>
              <w:t xml:space="preserve">Наименование </w:t>
            </w:r>
          </w:p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D93D8A">
              <w:rPr>
                <w:b/>
              </w:rPr>
              <w:t xml:space="preserve">муниципальной программы (комплексной программы), </w:t>
            </w:r>
          </w:p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  <w:r w:rsidRPr="00D93D8A">
              <w:rPr>
                <w:b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589" w:type="pct"/>
            <w:vMerge w:val="restart"/>
            <w:vAlign w:val="center"/>
          </w:tcPr>
          <w:p w:rsidR="00AA4093" w:rsidRPr="007C78D6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7C78D6">
              <w:rPr>
                <w:b/>
              </w:rPr>
              <w:t>Код бюджетной классификации</w:t>
            </w:r>
          </w:p>
        </w:tc>
        <w:tc>
          <w:tcPr>
            <w:tcW w:w="2549" w:type="pct"/>
            <w:gridSpan w:val="7"/>
          </w:tcPr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Объем финансового обеспечения по годам</w:t>
            </w:r>
            <w:proofErr w:type="gramStart"/>
            <w:r w:rsidRPr="00D93D8A">
              <w:rPr>
                <w:b/>
                <w:spacing w:val="-2"/>
              </w:rPr>
              <w:t xml:space="preserve"> ,</w:t>
            </w:r>
            <w:proofErr w:type="gramEnd"/>
            <w:r w:rsidRPr="00D93D8A">
              <w:rPr>
                <w:b/>
                <w:spacing w:val="-2"/>
              </w:rPr>
              <w:t xml:space="preserve"> тыс. рублей</w:t>
            </w:r>
          </w:p>
        </w:tc>
      </w:tr>
      <w:tr w:rsidR="00AA4093" w:rsidRPr="00D93D8A" w:rsidTr="00AA4093">
        <w:trPr>
          <w:trHeight w:val="20"/>
          <w:tblHeader/>
        </w:trPr>
        <w:tc>
          <w:tcPr>
            <w:tcW w:w="181" w:type="pct"/>
            <w:vMerge/>
          </w:tcPr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1681" w:type="pct"/>
            <w:vMerge/>
            <w:vAlign w:val="center"/>
          </w:tcPr>
          <w:p w:rsidR="00AA4093" w:rsidRPr="00D93D8A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589" w:type="pct"/>
            <w:vMerge/>
          </w:tcPr>
          <w:p w:rsidR="00AA4093" w:rsidRPr="007C78D6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365" w:type="pct"/>
            <w:vAlign w:val="center"/>
          </w:tcPr>
          <w:p w:rsidR="00AA4093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2025</w:t>
            </w:r>
          </w:p>
        </w:tc>
        <w:tc>
          <w:tcPr>
            <w:tcW w:w="365" w:type="pct"/>
            <w:vAlign w:val="center"/>
          </w:tcPr>
          <w:p w:rsidR="00AA4093" w:rsidRPr="00AA4093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365" w:type="pct"/>
            <w:vAlign w:val="center"/>
          </w:tcPr>
          <w:p w:rsidR="00AA4093" w:rsidRPr="00D93D8A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365" w:type="pct"/>
            <w:vAlign w:val="center"/>
          </w:tcPr>
          <w:p w:rsidR="00AA4093" w:rsidRPr="00D93D8A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365" w:type="pct"/>
            <w:vAlign w:val="center"/>
          </w:tcPr>
          <w:p w:rsidR="00AA4093" w:rsidRPr="00D93D8A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365" w:type="pct"/>
            <w:vAlign w:val="center"/>
          </w:tcPr>
          <w:p w:rsidR="00AA4093" w:rsidRPr="00D93D8A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>
              <w:rPr>
                <w:b/>
                <w:spacing w:val="-2"/>
              </w:rPr>
              <w:t>2030</w:t>
            </w:r>
          </w:p>
        </w:tc>
        <w:tc>
          <w:tcPr>
            <w:tcW w:w="359" w:type="pct"/>
            <w:vAlign w:val="center"/>
          </w:tcPr>
          <w:p w:rsidR="00AA4093" w:rsidRPr="00D93D8A" w:rsidRDefault="00AA4093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D93D8A">
              <w:rPr>
                <w:b/>
              </w:rPr>
              <w:t>Всего</w:t>
            </w:r>
          </w:p>
        </w:tc>
      </w:tr>
      <w:tr w:rsidR="00AA4093" w:rsidRPr="00AF7395" w:rsidTr="00AA4093">
        <w:trPr>
          <w:trHeight w:val="20"/>
          <w:tblHeader/>
        </w:trPr>
        <w:tc>
          <w:tcPr>
            <w:tcW w:w="181" w:type="pct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  <w:r w:rsidRPr="00AF7395">
              <w:rPr>
                <w:spacing w:val="-2"/>
              </w:rPr>
              <w:t>1</w:t>
            </w:r>
          </w:p>
        </w:tc>
        <w:tc>
          <w:tcPr>
            <w:tcW w:w="1681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  <w:r w:rsidRPr="00AF7395">
              <w:rPr>
                <w:spacing w:val="-2"/>
              </w:rPr>
              <w:t>2</w:t>
            </w:r>
          </w:p>
        </w:tc>
        <w:tc>
          <w:tcPr>
            <w:tcW w:w="589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  <w:r w:rsidRPr="00AF7395">
              <w:rPr>
                <w:spacing w:val="-2"/>
              </w:rPr>
              <w:t>3</w:t>
            </w:r>
          </w:p>
        </w:tc>
        <w:tc>
          <w:tcPr>
            <w:tcW w:w="365" w:type="pct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365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  <w:r w:rsidRPr="00AF7395">
              <w:rPr>
                <w:spacing w:val="-2"/>
              </w:rPr>
              <w:t>4</w:t>
            </w:r>
          </w:p>
        </w:tc>
        <w:tc>
          <w:tcPr>
            <w:tcW w:w="365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  <w:r w:rsidRPr="00AF7395">
              <w:rPr>
                <w:spacing w:val="-2"/>
              </w:rPr>
              <w:t>5</w:t>
            </w:r>
          </w:p>
        </w:tc>
        <w:tc>
          <w:tcPr>
            <w:tcW w:w="365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  <w:r w:rsidRPr="00AF7395">
              <w:t>6</w:t>
            </w:r>
          </w:p>
        </w:tc>
        <w:tc>
          <w:tcPr>
            <w:tcW w:w="365" w:type="pct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365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  <w:r w:rsidRPr="00AF7395">
              <w:t>7</w:t>
            </w:r>
          </w:p>
        </w:tc>
        <w:tc>
          <w:tcPr>
            <w:tcW w:w="359" w:type="pct"/>
            <w:vAlign w:val="center"/>
          </w:tcPr>
          <w:p w:rsidR="00AA4093" w:rsidRPr="00AF7395" w:rsidRDefault="00AA4093" w:rsidP="009C5250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  <w:r w:rsidRPr="00AF7395">
              <w:t>8</w:t>
            </w:r>
          </w:p>
        </w:tc>
      </w:tr>
      <w:tr w:rsidR="003D188E" w:rsidRPr="00D93D8A" w:rsidTr="00080651">
        <w:trPr>
          <w:trHeight w:val="20"/>
        </w:trPr>
        <w:tc>
          <w:tcPr>
            <w:tcW w:w="1862" w:type="pct"/>
            <w:gridSpan w:val="2"/>
          </w:tcPr>
          <w:p w:rsidR="003D188E" w:rsidRPr="00D93D8A" w:rsidRDefault="003D188E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 w:rsidRPr="00D93D8A">
              <w:rPr>
                <w:b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589" w:type="pct"/>
            <w:vAlign w:val="center"/>
          </w:tcPr>
          <w:p w:rsidR="003D188E" w:rsidRPr="007C78D6" w:rsidRDefault="003D188E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>
              <w:t>1</w:t>
            </w:r>
            <w:r w:rsidR="007D307C">
              <w:t xml:space="preserve">4 </w:t>
            </w:r>
            <w:r>
              <w:t>606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2B20DC">
              <w:t>6</w:t>
            </w:r>
            <w:r w:rsidRPr="003D03F8">
              <w:t>0</w:t>
            </w:r>
            <w:r w:rsidR="002B20DC">
              <w:t>6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2B20DC">
              <w:t>606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2B20DC">
              <w:t>606</w:t>
            </w:r>
          </w:p>
        </w:tc>
        <w:tc>
          <w:tcPr>
            <w:tcW w:w="359" w:type="pct"/>
            <w:vAlign w:val="center"/>
          </w:tcPr>
          <w:p w:rsidR="003D188E" w:rsidRDefault="00AB00FB" w:rsidP="007D307C">
            <w:pPr>
              <w:jc w:val="center"/>
            </w:pPr>
            <w:r>
              <w:t>58</w:t>
            </w:r>
            <w:r w:rsidR="009E236E">
              <w:t xml:space="preserve"> </w:t>
            </w:r>
            <w:bookmarkStart w:id="0" w:name="_GoBack"/>
            <w:bookmarkEnd w:id="0"/>
            <w:r>
              <w:t>424</w:t>
            </w:r>
          </w:p>
        </w:tc>
      </w:tr>
      <w:tr w:rsidR="003D188E" w:rsidRPr="00D93D8A" w:rsidTr="00080651">
        <w:trPr>
          <w:trHeight w:val="20"/>
        </w:trPr>
        <w:tc>
          <w:tcPr>
            <w:tcW w:w="1862" w:type="pct"/>
            <w:gridSpan w:val="2"/>
          </w:tcPr>
          <w:p w:rsidR="003D188E" w:rsidRPr="00D93D8A" w:rsidRDefault="003D188E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>юджет Губкинского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3D188E" w:rsidRPr="007C78D6" w:rsidRDefault="003D188E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664726">
              <w:t>606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2B20DC">
              <w:t>606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2B20DC">
              <w:t>606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3D03F8">
              <w:t>1</w:t>
            </w:r>
            <w:r w:rsidR="007D307C">
              <w:t xml:space="preserve">4 </w:t>
            </w:r>
            <w:r w:rsidR="002B20DC">
              <w:t>606</w:t>
            </w:r>
          </w:p>
        </w:tc>
        <w:tc>
          <w:tcPr>
            <w:tcW w:w="359" w:type="pct"/>
            <w:vAlign w:val="center"/>
          </w:tcPr>
          <w:p w:rsidR="003D188E" w:rsidRDefault="00AB00FB" w:rsidP="007D307C">
            <w:pPr>
              <w:jc w:val="center"/>
            </w:pPr>
            <w:r>
              <w:t>58</w:t>
            </w:r>
            <w:r w:rsidR="009E236E">
              <w:t xml:space="preserve"> </w:t>
            </w:r>
            <w:r>
              <w:t>424</w:t>
            </w:r>
          </w:p>
        </w:tc>
      </w:tr>
      <w:tr w:rsidR="003D188E" w:rsidRPr="00D93D8A" w:rsidTr="00AA4093">
        <w:trPr>
          <w:trHeight w:val="20"/>
        </w:trPr>
        <w:tc>
          <w:tcPr>
            <w:tcW w:w="1862" w:type="pct"/>
            <w:gridSpan w:val="2"/>
          </w:tcPr>
          <w:p w:rsidR="003D188E" w:rsidRPr="00D93D8A" w:rsidRDefault="003D188E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</w:tcPr>
          <w:p w:rsidR="003D188E" w:rsidRPr="007C78D6" w:rsidRDefault="003D188E" w:rsidP="00AA4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</w:tr>
      <w:tr w:rsidR="003D188E" w:rsidRPr="00D93D8A" w:rsidTr="00AA4093">
        <w:trPr>
          <w:trHeight w:val="20"/>
        </w:trPr>
        <w:tc>
          <w:tcPr>
            <w:tcW w:w="1862" w:type="pct"/>
            <w:gridSpan w:val="2"/>
          </w:tcPr>
          <w:p w:rsidR="003D188E" w:rsidRPr="00D93D8A" w:rsidRDefault="003D188E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</w:tcPr>
          <w:p w:rsidR="003D188E" w:rsidRPr="007C78D6" w:rsidRDefault="003D188E" w:rsidP="00AA4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</w:tr>
      <w:tr w:rsidR="003D188E" w:rsidRPr="00D93D8A" w:rsidTr="00AA4093">
        <w:trPr>
          <w:trHeight w:val="20"/>
        </w:trPr>
        <w:tc>
          <w:tcPr>
            <w:tcW w:w="1862" w:type="pct"/>
            <w:gridSpan w:val="2"/>
          </w:tcPr>
          <w:p w:rsidR="003D188E" w:rsidRPr="00D93D8A" w:rsidRDefault="003D188E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</w:tcPr>
          <w:p w:rsidR="003D188E" w:rsidRPr="00186FB5" w:rsidRDefault="003D188E" w:rsidP="00AA4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</w:tr>
      <w:tr w:rsidR="003D188E" w:rsidRPr="00D93D8A" w:rsidTr="00AA4093">
        <w:trPr>
          <w:trHeight w:val="20"/>
        </w:trPr>
        <w:tc>
          <w:tcPr>
            <w:tcW w:w="1862" w:type="pct"/>
            <w:gridSpan w:val="2"/>
          </w:tcPr>
          <w:p w:rsidR="003D188E" w:rsidRPr="00D93D8A" w:rsidRDefault="003D188E" w:rsidP="00AA4093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</w:rPr>
            </w:pPr>
            <w:r w:rsidRPr="00D93D8A">
              <w:rPr>
                <w:spacing w:val="-2"/>
              </w:rPr>
              <w:t>Объем налоговых расходов (</w:t>
            </w:r>
            <w:proofErr w:type="spellStart"/>
            <w:r w:rsidRPr="00D93D8A">
              <w:rPr>
                <w:spacing w:val="-2"/>
              </w:rPr>
              <w:t>справочно</w:t>
            </w:r>
            <w:proofErr w:type="spellEnd"/>
            <w:r w:rsidRPr="00D93D8A">
              <w:rPr>
                <w:spacing w:val="-2"/>
              </w:rPr>
              <w:t>)</w:t>
            </w:r>
          </w:p>
        </w:tc>
        <w:tc>
          <w:tcPr>
            <w:tcW w:w="589" w:type="pct"/>
          </w:tcPr>
          <w:p w:rsidR="003D188E" w:rsidRPr="00024767" w:rsidRDefault="003D188E" w:rsidP="00AA40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AA4093">
            <w:pPr>
              <w:jc w:val="center"/>
            </w:pPr>
            <w:r w:rsidRPr="009F45E3">
              <w:t>-</w:t>
            </w:r>
          </w:p>
        </w:tc>
      </w:tr>
      <w:tr w:rsidR="007D307C" w:rsidRPr="00D93D8A" w:rsidTr="007D307C">
        <w:trPr>
          <w:trHeight w:val="20"/>
        </w:trPr>
        <w:tc>
          <w:tcPr>
            <w:tcW w:w="181" w:type="pct"/>
          </w:tcPr>
          <w:p w:rsidR="007D307C" w:rsidRPr="007C78D6" w:rsidRDefault="007D307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</w:t>
            </w:r>
          </w:p>
        </w:tc>
        <w:tc>
          <w:tcPr>
            <w:tcW w:w="1681" w:type="pct"/>
            <w:vAlign w:val="center"/>
          </w:tcPr>
          <w:p w:rsidR="007D307C" w:rsidRPr="007C78D6" w:rsidRDefault="007D307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7C78D6">
              <w:rPr>
                <w:b/>
                <w:spacing w:val="-2"/>
              </w:rPr>
              <w:t>Структурные элементы (</w:t>
            </w:r>
            <w:r w:rsidRPr="007C78D6">
              <w:rPr>
                <w:b/>
              </w:rPr>
              <w:t>всего), в том числе:</w:t>
            </w:r>
          </w:p>
        </w:tc>
        <w:tc>
          <w:tcPr>
            <w:tcW w:w="589" w:type="pct"/>
            <w:vAlign w:val="center"/>
          </w:tcPr>
          <w:p w:rsidR="007D307C" w:rsidRPr="007C78D6" w:rsidRDefault="007D307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0D156E">
              <w:t>1</w:t>
            </w:r>
            <w:r>
              <w:t>4 606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0D156E">
              <w:t>1</w:t>
            </w:r>
            <w:r>
              <w:t>4 606</w:t>
            </w:r>
          </w:p>
        </w:tc>
        <w:tc>
          <w:tcPr>
            <w:tcW w:w="365" w:type="pct"/>
          </w:tcPr>
          <w:p w:rsidR="007D307C" w:rsidRDefault="007D307C" w:rsidP="007D307C">
            <w:pPr>
              <w:jc w:val="center"/>
            </w:pPr>
            <w:r w:rsidRPr="00353D28">
              <w:t>14 606</w:t>
            </w:r>
          </w:p>
        </w:tc>
        <w:tc>
          <w:tcPr>
            <w:tcW w:w="365" w:type="pct"/>
          </w:tcPr>
          <w:p w:rsidR="007D307C" w:rsidRDefault="007D307C" w:rsidP="007D307C">
            <w:pPr>
              <w:jc w:val="center"/>
            </w:pPr>
            <w:r w:rsidRPr="00353D28">
              <w:t>14 606</w:t>
            </w:r>
          </w:p>
        </w:tc>
        <w:tc>
          <w:tcPr>
            <w:tcW w:w="359" w:type="pct"/>
          </w:tcPr>
          <w:p w:rsidR="007D307C" w:rsidRDefault="00AB00FB" w:rsidP="007D307C">
            <w:pPr>
              <w:jc w:val="center"/>
            </w:pPr>
            <w:r>
              <w:t>58</w:t>
            </w:r>
            <w:r w:rsidR="009E236E">
              <w:t xml:space="preserve"> </w:t>
            </w:r>
            <w:r>
              <w:t>424</w:t>
            </w:r>
          </w:p>
        </w:tc>
      </w:tr>
      <w:tr w:rsidR="007D307C" w:rsidRPr="00D93D8A" w:rsidTr="007D307C">
        <w:trPr>
          <w:trHeight w:val="20"/>
        </w:trPr>
        <w:tc>
          <w:tcPr>
            <w:tcW w:w="181" w:type="pct"/>
          </w:tcPr>
          <w:p w:rsidR="007D307C" w:rsidRPr="007C78D6" w:rsidRDefault="007D307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  <w:jc w:val="center"/>
            </w:pPr>
          </w:p>
        </w:tc>
        <w:tc>
          <w:tcPr>
            <w:tcW w:w="1681" w:type="pct"/>
          </w:tcPr>
          <w:p w:rsidR="007D307C" w:rsidRPr="00D93D8A" w:rsidRDefault="007D307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>юджет Губкинского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7D307C" w:rsidRPr="007C78D6" w:rsidRDefault="007D307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0D156E">
              <w:t>1</w:t>
            </w:r>
            <w:r>
              <w:t>4 606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0D156E">
              <w:t>1</w:t>
            </w:r>
            <w:r>
              <w:t>4606</w:t>
            </w:r>
          </w:p>
        </w:tc>
        <w:tc>
          <w:tcPr>
            <w:tcW w:w="365" w:type="pct"/>
          </w:tcPr>
          <w:p w:rsidR="007D307C" w:rsidRDefault="007D307C" w:rsidP="007D307C">
            <w:pPr>
              <w:jc w:val="center"/>
            </w:pPr>
            <w:r w:rsidRPr="00253A4B">
              <w:t>14 606</w:t>
            </w:r>
          </w:p>
        </w:tc>
        <w:tc>
          <w:tcPr>
            <w:tcW w:w="365" w:type="pct"/>
          </w:tcPr>
          <w:p w:rsidR="007D307C" w:rsidRDefault="007D307C" w:rsidP="007D307C">
            <w:pPr>
              <w:jc w:val="center"/>
            </w:pPr>
            <w:r w:rsidRPr="00253A4B">
              <w:t>14 606</w:t>
            </w:r>
          </w:p>
        </w:tc>
        <w:tc>
          <w:tcPr>
            <w:tcW w:w="359" w:type="pct"/>
          </w:tcPr>
          <w:p w:rsidR="007D307C" w:rsidRDefault="00AB00FB" w:rsidP="007D307C">
            <w:pPr>
              <w:jc w:val="center"/>
            </w:pPr>
            <w:r>
              <w:t>58</w:t>
            </w:r>
            <w:r w:rsidR="009E236E">
              <w:t xml:space="preserve"> </w:t>
            </w:r>
            <w:r>
              <w:t>424</w:t>
            </w:r>
          </w:p>
        </w:tc>
      </w:tr>
      <w:tr w:rsidR="003D188E" w:rsidRPr="00D93D8A" w:rsidTr="005970D2">
        <w:trPr>
          <w:trHeight w:val="20"/>
        </w:trPr>
        <w:tc>
          <w:tcPr>
            <w:tcW w:w="181" w:type="pct"/>
          </w:tcPr>
          <w:p w:rsidR="003D188E" w:rsidRPr="007C78D6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  <w:jc w:val="center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3D188E" w:rsidRPr="007C78D6" w:rsidRDefault="003D188E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</w:tr>
      <w:tr w:rsidR="003D188E" w:rsidRPr="00D93D8A" w:rsidTr="005970D2">
        <w:trPr>
          <w:trHeight w:val="93"/>
        </w:trPr>
        <w:tc>
          <w:tcPr>
            <w:tcW w:w="181" w:type="pct"/>
          </w:tcPr>
          <w:p w:rsidR="003D188E" w:rsidRPr="007C78D6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  <w:jc w:val="center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3D188E" w:rsidRPr="007C78D6" w:rsidRDefault="003D188E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</w:tr>
      <w:tr w:rsidR="003D188E" w:rsidRPr="00D93D8A" w:rsidTr="005970D2">
        <w:trPr>
          <w:trHeight w:val="20"/>
        </w:trPr>
        <w:tc>
          <w:tcPr>
            <w:tcW w:w="181" w:type="pct"/>
          </w:tcPr>
          <w:p w:rsidR="003D188E" w:rsidRPr="007C78D6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  <w:jc w:val="center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3D188E" w:rsidRPr="00024767" w:rsidRDefault="003D188E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673B26">
              <w:t>-</w:t>
            </w:r>
          </w:p>
        </w:tc>
      </w:tr>
      <w:tr w:rsidR="002B20DC" w:rsidRPr="00D93D8A" w:rsidTr="00080651">
        <w:trPr>
          <w:trHeight w:val="20"/>
        </w:trPr>
        <w:tc>
          <w:tcPr>
            <w:tcW w:w="181" w:type="pct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1.1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«Развитие и модернизация информационно-коммуникационной инфраструктуры связи»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11.4.01.00000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2B20DC">
            <w:pPr>
              <w:jc w:val="center"/>
            </w:pPr>
            <w:r w:rsidRPr="00461D2D"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65" w:type="pct"/>
            <w:vAlign w:val="center"/>
          </w:tcPr>
          <w:p w:rsidR="002B20DC" w:rsidRDefault="002B20DC" w:rsidP="002B20DC">
            <w:pPr>
              <w:jc w:val="center"/>
            </w:pPr>
            <w:r w:rsidRPr="00461D2D"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65" w:type="pct"/>
            <w:vAlign w:val="center"/>
          </w:tcPr>
          <w:p w:rsidR="002B20DC" w:rsidRDefault="002B20DC" w:rsidP="002B20DC">
            <w:pPr>
              <w:jc w:val="center"/>
            </w:pPr>
            <w:r w:rsidRPr="00461D2D"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59" w:type="pct"/>
            <w:vAlign w:val="center"/>
          </w:tcPr>
          <w:p w:rsidR="002B20DC" w:rsidRDefault="00AB00FB" w:rsidP="002B20DC">
            <w:pPr>
              <w:jc w:val="center"/>
            </w:pPr>
            <w:r>
              <w:t>11</w:t>
            </w:r>
            <w:r w:rsidR="009E236E">
              <w:t xml:space="preserve"> </w:t>
            </w:r>
            <w:r>
              <w:t>260</w:t>
            </w:r>
          </w:p>
        </w:tc>
      </w:tr>
      <w:tr w:rsidR="002B20DC" w:rsidRPr="00D93D8A" w:rsidTr="00080651">
        <w:trPr>
          <w:trHeight w:val="20"/>
        </w:trPr>
        <w:tc>
          <w:tcPr>
            <w:tcW w:w="181" w:type="pct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>юджет Губкинского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11.4.01.00000</w:t>
            </w:r>
          </w:p>
        </w:tc>
        <w:tc>
          <w:tcPr>
            <w:tcW w:w="365" w:type="pct"/>
            <w:vAlign w:val="center"/>
          </w:tcPr>
          <w:p w:rsidR="002B20DC" w:rsidRDefault="002B20DC" w:rsidP="00664726">
            <w:pPr>
              <w:jc w:val="center"/>
            </w:pPr>
            <w:r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461D2D"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461D2D">
              <w:t>2</w:t>
            </w:r>
            <w:r w:rsidR="007D307C">
              <w:t xml:space="preserve"> 8</w:t>
            </w:r>
            <w:r>
              <w:t>15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461D2D">
              <w:t>2</w:t>
            </w:r>
            <w:r w:rsidR="007D307C">
              <w:t xml:space="preserve"> </w:t>
            </w:r>
            <w:r>
              <w:t>815</w:t>
            </w:r>
          </w:p>
        </w:tc>
        <w:tc>
          <w:tcPr>
            <w:tcW w:w="359" w:type="pct"/>
            <w:vAlign w:val="center"/>
          </w:tcPr>
          <w:p w:rsidR="002B20DC" w:rsidRDefault="00AB00FB" w:rsidP="007D307C">
            <w:pPr>
              <w:jc w:val="center"/>
            </w:pPr>
            <w:r>
              <w:t>11</w:t>
            </w:r>
            <w:r w:rsidR="009E236E">
              <w:t xml:space="preserve"> </w:t>
            </w:r>
            <w:r>
              <w:t>260</w:t>
            </w:r>
          </w:p>
        </w:tc>
      </w:tr>
      <w:tr w:rsidR="002B20DC" w:rsidRPr="00D93D8A" w:rsidTr="005970D2">
        <w:trPr>
          <w:trHeight w:val="20"/>
        </w:trPr>
        <w:tc>
          <w:tcPr>
            <w:tcW w:w="1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</w:tr>
      <w:tr w:rsidR="002B20DC" w:rsidRPr="00D93D8A" w:rsidTr="005970D2">
        <w:trPr>
          <w:trHeight w:val="20"/>
        </w:trPr>
        <w:tc>
          <w:tcPr>
            <w:tcW w:w="1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</w:tr>
      <w:tr w:rsidR="002B20DC" w:rsidRPr="00D93D8A" w:rsidTr="005970D2">
        <w:trPr>
          <w:trHeight w:val="20"/>
        </w:trPr>
        <w:tc>
          <w:tcPr>
            <w:tcW w:w="1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2B20DC" w:rsidRPr="00024767" w:rsidRDefault="002B20DC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</w:tr>
      <w:tr w:rsidR="00AB00FB" w:rsidRPr="00D93D8A" w:rsidTr="00F12D43">
        <w:trPr>
          <w:trHeight w:val="20"/>
        </w:trPr>
        <w:tc>
          <w:tcPr>
            <w:tcW w:w="181" w:type="pct"/>
          </w:tcPr>
          <w:p w:rsidR="00AB00FB" w:rsidRPr="007C78D6" w:rsidRDefault="00AB00FB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1.2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AB00FB" w:rsidRPr="007C78D6" w:rsidRDefault="00AB00FB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«Модернизация и развитие цифровой инфраструктуры»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AB00FB" w:rsidRPr="007C78D6" w:rsidRDefault="00AB00FB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11.4.02.00000</w:t>
            </w:r>
          </w:p>
        </w:tc>
        <w:tc>
          <w:tcPr>
            <w:tcW w:w="365" w:type="pct"/>
            <w:vAlign w:val="center"/>
          </w:tcPr>
          <w:p w:rsidR="00AB00FB" w:rsidRDefault="00AB00FB" w:rsidP="00664726">
            <w:pPr>
              <w:jc w:val="center"/>
            </w:pPr>
            <w:r>
              <w:t xml:space="preserve">2 </w:t>
            </w:r>
            <w:r w:rsidRPr="00A3052D">
              <w:t>5</w:t>
            </w:r>
            <w:r>
              <w:t>64</w:t>
            </w:r>
          </w:p>
        </w:tc>
        <w:tc>
          <w:tcPr>
            <w:tcW w:w="365" w:type="pct"/>
            <w:vAlign w:val="center"/>
          </w:tcPr>
          <w:p w:rsidR="00AB00FB" w:rsidRDefault="00AB00FB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AB00FB" w:rsidRDefault="00AB00FB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AB00FB" w:rsidRDefault="00AB00FB" w:rsidP="00053678">
            <w:pPr>
              <w:jc w:val="center"/>
            </w:pPr>
            <w:r w:rsidRPr="003B0514">
              <w:t>2 564</w:t>
            </w:r>
          </w:p>
        </w:tc>
        <w:tc>
          <w:tcPr>
            <w:tcW w:w="365" w:type="pct"/>
            <w:vAlign w:val="center"/>
          </w:tcPr>
          <w:p w:rsidR="00AB00FB" w:rsidRDefault="00AB00FB" w:rsidP="00AB00FB">
            <w:pPr>
              <w:jc w:val="center"/>
            </w:pPr>
            <w:r>
              <w:t>2564</w:t>
            </w:r>
          </w:p>
        </w:tc>
        <w:tc>
          <w:tcPr>
            <w:tcW w:w="365" w:type="pct"/>
            <w:vAlign w:val="center"/>
          </w:tcPr>
          <w:p w:rsidR="00AB00FB" w:rsidRDefault="00AB00FB" w:rsidP="00AB00FB">
            <w:pPr>
              <w:jc w:val="center"/>
            </w:pPr>
            <w:r w:rsidRPr="00461D2D">
              <w:t>2</w:t>
            </w:r>
            <w:r>
              <w:t xml:space="preserve"> 564</w:t>
            </w:r>
          </w:p>
        </w:tc>
        <w:tc>
          <w:tcPr>
            <w:tcW w:w="359" w:type="pct"/>
            <w:vAlign w:val="center"/>
          </w:tcPr>
          <w:p w:rsidR="00AB00FB" w:rsidRDefault="00AB00FB" w:rsidP="00AB00FB">
            <w:pPr>
              <w:jc w:val="center"/>
            </w:pPr>
            <w:r>
              <w:t>10</w:t>
            </w:r>
            <w:r w:rsidR="009E236E">
              <w:t xml:space="preserve"> </w:t>
            </w:r>
            <w:r>
              <w:t>256</w:t>
            </w:r>
          </w:p>
        </w:tc>
      </w:tr>
      <w:tr w:rsidR="007D307C" w:rsidRPr="00D93D8A" w:rsidTr="007D307C">
        <w:trPr>
          <w:trHeight w:val="20"/>
        </w:trPr>
        <w:tc>
          <w:tcPr>
            <w:tcW w:w="181" w:type="pct"/>
          </w:tcPr>
          <w:p w:rsidR="007D307C" w:rsidRPr="00D93D8A" w:rsidRDefault="007D307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7D307C" w:rsidRPr="00D93D8A" w:rsidRDefault="007D307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>юджет Губкинского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7D307C" w:rsidRPr="00D93D8A" w:rsidRDefault="007D307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11.4.02.00000</w:t>
            </w:r>
          </w:p>
        </w:tc>
        <w:tc>
          <w:tcPr>
            <w:tcW w:w="365" w:type="pct"/>
            <w:vAlign w:val="center"/>
          </w:tcPr>
          <w:p w:rsidR="007D307C" w:rsidRDefault="007D307C" w:rsidP="00080651">
            <w:pPr>
              <w:jc w:val="center"/>
            </w:pPr>
            <w:r>
              <w:t xml:space="preserve">2 </w:t>
            </w:r>
            <w:r w:rsidRPr="00A3052D">
              <w:t>5</w:t>
            </w:r>
            <w:r>
              <w:t>6</w:t>
            </w:r>
            <w:r w:rsidRPr="00A3052D">
              <w:t>4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7D307C" w:rsidRDefault="007D307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7D307C" w:rsidRDefault="007D307C" w:rsidP="002B20DC">
            <w:pPr>
              <w:jc w:val="center"/>
            </w:pPr>
            <w:r>
              <w:t xml:space="preserve">2 </w:t>
            </w:r>
            <w:r w:rsidRPr="00A3052D">
              <w:t>5</w:t>
            </w:r>
            <w:r>
              <w:t>6</w:t>
            </w:r>
            <w:r w:rsidRPr="00A3052D">
              <w:t>4</w:t>
            </w:r>
          </w:p>
        </w:tc>
        <w:tc>
          <w:tcPr>
            <w:tcW w:w="365" w:type="pct"/>
          </w:tcPr>
          <w:p w:rsidR="007D307C" w:rsidRDefault="007D307C" w:rsidP="007D307C">
            <w:pPr>
              <w:jc w:val="center"/>
            </w:pPr>
            <w:r w:rsidRPr="003B0514">
              <w:t>2 564</w:t>
            </w:r>
          </w:p>
        </w:tc>
        <w:tc>
          <w:tcPr>
            <w:tcW w:w="365" w:type="pct"/>
          </w:tcPr>
          <w:p w:rsidR="007D307C" w:rsidRDefault="007D307C" w:rsidP="007D307C">
            <w:pPr>
              <w:jc w:val="center"/>
            </w:pPr>
            <w:r w:rsidRPr="003B0514">
              <w:t>2 564</w:t>
            </w:r>
          </w:p>
        </w:tc>
        <w:tc>
          <w:tcPr>
            <w:tcW w:w="359" w:type="pct"/>
          </w:tcPr>
          <w:p w:rsidR="007D307C" w:rsidRDefault="00AB00FB" w:rsidP="00AB00FB">
            <w:pPr>
              <w:jc w:val="center"/>
            </w:pPr>
            <w:r>
              <w:t>10</w:t>
            </w:r>
            <w:r w:rsidR="009E236E">
              <w:t xml:space="preserve"> </w:t>
            </w:r>
            <w:r>
              <w:t>256</w:t>
            </w:r>
          </w:p>
        </w:tc>
      </w:tr>
      <w:tr w:rsidR="002B20DC" w:rsidRPr="00D93D8A" w:rsidTr="009C5250">
        <w:trPr>
          <w:trHeight w:val="20"/>
        </w:trPr>
        <w:tc>
          <w:tcPr>
            <w:tcW w:w="1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</w:tr>
      <w:tr w:rsidR="002B20DC" w:rsidRPr="00D93D8A" w:rsidTr="009C5250">
        <w:trPr>
          <w:trHeight w:val="20"/>
        </w:trPr>
        <w:tc>
          <w:tcPr>
            <w:tcW w:w="1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2B20DC" w:rsidRDefault="002B20DC" w:rsidP="005970D2">
            <w:pPr>
              <w:jc w:val="center"/>
            </w:pPr>
            <w:r w:rsidRPr="000C0573">
              <w:t>-</w:t>
            </w:r>
          </w:p>
        </w:tc>
      </w:tr>
      <w:tr w:rsidR="002B20DC" w:rsidRPr="00D93D8A" w:rsidTr="009C5250">
        <w:trPr>
          <w:trHeight w:val="20"/>
        </w:trPr>
        <w:tc>
          <w:tcPr>
            <w:tcW w:w="1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2B20DC" w:rsidRPr="00D93D8A" w:rsidRDefault="002B20DC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2B20DC" w:rsidRPr="00024767" w:rsidRDefault="002B20DC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2B20DC" w:rsidRDefault="002B20DC" w:rsidP="005970D2">
            <w:pPr>
              <w:jc w:val="center"/>
            </w:pPr>
            <w:r w:rsidRPr="00BC34C6">
              <w:t>-</w:t>
            </w:r>
          </w:p>
        </w:tc>
      </w:tr>
      <w:tr w:rsidR="002B20DC" w:rsidRPr="00D93D8A" w:rsidTr="00080651">
        <w:trPr>
          <w:trHeight w:val="20"/>
        </w:trPr>
        <w:tc>
          <w:tcPr>
            <w:tcW w:w="181" w:type="pct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1.3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«Создание, внедрение, сопровождение и обеспечение эксплуатации цифровых решений»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11.4.03.00000</w:t>
            </w:r>
          </w:p>
        </w:tc>
        <w:tc>
          <w:tcPr>
            <w:tcW w:w="365" w:type="pct"/>
            <w:vAlign w:val="center"/>
          </w:tcPr>
          <w:p w:rsidR="002B20DC" w:rsidRDefault="002B20DC" w:rsidP="00664726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59" w:type="pct"/>
            <w:vAlign w:val="center"/>
          </w:tcPr>
          <w:p w:rsidR="002B20DC" w:rsidRDefault="00AB00FB" w:rsidP="00AB00FB">
            <w:pPr>
              <w:jc w:val="center"/>
            </w:pPr>
            <w:r>
              <w:t>33</w:t>
            </w:r>
            <w:r w:rsidR="009E236E">
              <w:t xml:space="preserve"> </w:t>
            </w:r>
            <w:r>
              <w:t>088</w:t>
            </w:r>
          </w:p>
        </w:tc>
      </w:tr>
      <w:tr w:rsidR="002B20DC" w:rsidRPr="00D93D8A" w:rsidTr="00080651">
        <w:trPr>
          <w:trHeight w:val="20"/>
        </w:trPr>
        <w:tc>
          <w:tcPr>
            <w:tcW w:w="181" w:type="pct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>юджет Губкинского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11.4.03.00000</w:t>
            </w:r>
          </w:p>
        </w:tc>
        <w:tc>
          <w:tcPr>
            <w:tcW w:w="365" w:type="pct"/>
            <w:vAlign w:val="center"/>
          </w:tcPr>
          <w:p w:rsidR="002B20DC" w:rsidRDefault="002B20DC" w:rsidP="00664726">
            <w:pPr>
              <w:jc w:val="center"/>
            </w:pPr>
            <w:r w:rsidRPr="009D6D3C"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>
              <w:t>8</w:t>
            </w:r>
            <w:r w:rsidR="009E236E">
              <w:t xml:space="preserve"> </w:t>
            </w:r>
            <w:r>
              <w:t>272</w:t>
            </w:r>
          </w:p>
        </w:tc>
        <w:tc>
          <w:tcPr>
            <w:tcW w:w="359" w:type="pct"/>
            <w:vAlign w:val="center"/>
          </w:tcPr>
          <w:p w:rsidR="002B20DC" w:rsidRDefault="00AB00FB" w:rsidP="00AB00FB">
            <w:pPr>
              <w:jc w:val="center"/>
            </w:pPr>
            <w:r>
              <w:t>33</w:t>
            </w:r>
            <w:r w:rsidR="009E236E">
              <w:t xml:space="preserve"> </w:t>
            </w:r>
            <w:r>
              <w:t>088</w:t>
            </w:r>
          </w:p>
        </w:tc>
      </w:tr>
      <w:tr w:rsidR="003D188E" w:rsidRPr="00D93D8A" w:rsidTr="009C5250">
        <w:trPr>
          <w:trHeight w:val="20"/>
        </w:trPr>
        <w:tc>
          <w:tcPr>
            <w:tcW w:w="1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</w:tr>
      <w:tr w:rsidR="003D188E" w:rsidRPr="00D93D8A" w:rsidTr="009C5250">
        <w:trPr>
          <w:trHeight w:val="20"/>
        </w:trPr>
        <w:tc>
          <w:tcPr>
            <w:tcW w:w="1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</w:tr>
      <w:tr w:rsidR="003D188E" w:rsidRPr="00D93D8A" w:rsidTr="009C5250">
        <w:trPr>
          <w:trHeight w:val="20"/>
        </w:trPr>
        <w:tc>
          <w:tcPr>
            <w:tcW w:w="1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3D188E" w:rsidRPr="00024767" w:rsidRDefault="003D188E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</w:tr>
      <w:tr w:rsidR="002B20DC" w:rsidRPr="00D93D8A" w:rsidTr="00080651">
        <w:trPr>
          <w:trHeight w:val="20"/>
        </w:trPr>
        <w:tc>
          <w:tcPr>
            <w:tcW w:w="181" w:type="pct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1.4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«Обеспечение информационной безопасности в информационном обществе»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2B20DC" w:rsidRPr="007C78D6" w:rsidRDefault="002B20D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11.4.04.00000</w:t>
            </w:r>
          </w:p>
        </w:tc>
        <w:tc>
          <w:tcPr>
            <w:tcW w:w="365" w:type="pct"/>
            <w:vAlign w:val="center"/>
          </w:tcPr>
          <w:p w:rsidR="002B20DC" w:rsidRDefault="002B20DC" w:rsidP="00664726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2B20DC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65" w:type="pct"/>
            <w:vAlign w:val="center"/>
          </w:tcPr>
          <w:p w:rsidR="002B20DC" w:rsidRDefault="002B20DC" w:rsidP="002B20DC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59" w:type="pct"/>
            <w:vAlign w:val="center"/>
          </w:tcPr>
          <w:p w:rsidR="002B20DC" w:rsidRDefault="00AB00FB" w:rsidP="00AB00FB">
            <w:pPr>
              <w:jc w:val="center"/>
            </w:pPr>
            <w:r>
              <w:t>3</w:t>
            </w:r>
            <w:r w:rsidR="009E236E">
              <w:t xml:space="preserve"> </w:t>
            </w:r>
            <w:r>
              <w:t>820</w:t>
            </w:r>
          </w:p>
        </w:tc>
      </w:tr>
      <w:tr w:rsidR="002B20DC" w:rsidRPr="00D93D8A" w:rsidTr="00080651">
        <w:trPr>
          <w:trHeight w:val="20"/>
        </w:trPr>
        <w:tc>
          <w:tcPr>
            <w:tcW w:w="181" w:type="pct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>юджет Губкинского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2B20DC" w:rsidRPr="00D93D8A" w:rsidRDefault="002B20DC" w:rsidP="000806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11.4.04.00000</w:t>
            </w:r>
          </w:p>
        </w:tc>
        <w:tc>
          <w:tcPr>
            <w:tcW w:w="365" w:type="pct"/>
            <w:vAlign w:val="center"/>
          </w:tcPr>
          <w:p w:rsidR="002B20DC" w:rsidRDefault="002B20DC" w:rsidP="00664726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2B20DC" w:rsidRDefault="002B20DC" w:rsidP="00080651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65" w:type="pct"/>
            <w:vAlign w:val="center"/>
          </w:tcPr>
          <w:p w:rsidR="002B20DC" w:rsidRDefault="002B20DC" w:rsidP="002B20DC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65" w:type="pct"/>
            <w:vAlign w:val="center"/>
          </w:tcPr>
          <w:p w:rsidR="002B20DC" w:rsidRDefault="002B20DC" w:rsidP="007D307C">
            <w:pPr>
              <w:jc w:val="center"/>
            </w:pPr>
            <w:r w:rsidRPr="00407004">
              <w:t>95</w:t>
            </w:r>
            <w:r>
              <w:t>5</w:t>
            </w:r>
          </w:p>
        </w:tc>
        <w:tc>
          <w:tcPr>
            <w:tcW w:w="359" w:type="pct"/>
            <w:vAlign w:val="center"/>
          </w:tcPr>
          <w:p w:rsidR="002B20DC" w:rsidRDefault="00AB00FB" w:rsidP="00AB00FB">
            <w:pPr>
              <w:jc w:val="center"/>
            </w:pPr>
            <w:r>
              <w:t>3</w:t>
            </w:r>
            <w:r w:rsidR="009E236E">
              <w:t xml:space="preserve"> </w:t>
            </w:r>
            <w:r>
              <w:t>820</w:t>
            </w:r>
          </w:p>
        </w:tc>
      </w:tr>
      <w:tr w:rsidR="003D188E" w:rsidRPr="00D93D8A" w:rsidTr="009C5250">
        <w:trPr>
          <w:trHeight w:val="20"/>
        </w:trPr>
        <w:tc>
          <w:tcPr>
            <w:tcW w:w="1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</w:tr>
      <w:tr w:rsidR="003D188E" w:rsidRPr="00D93D8A" w:rsidTr="009C5250">
        <w:trPr>
          <w:trHeight w:val="20"/>
        </w:trPr>
        <w:tc>
          <w:tcPr>
            <w:tcW w:w="1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0C0573">
              <w:t>-</w:t>
            </w:r>
          </w:p>
        </w:tc>
      </w:tr>
      <w:tr w:rsidR="003D188E" w:rsidRPr="00D93D8A" w:rsidTr="009C5250">
        <w:trPr>
          <w:trHeight w:val="20"/>
        </w:trPr>
        <w:tc>
          <w:tcPr>
            <w:tcW w:w="1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3D188E" w:rsidRPr="00D93D8A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3D188E" w:rsidRPr="00024767" w:rsidRDefault="003D188E" w:rsidP="005970D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BC34C6">
              <w:t>-</w:t>
            </w:r>
          </w:p>
        </w:tc>
      </w:tr>
      <w:tr w:rsidR="003D188E" w:rsidRPr="00D93D8A" w:rsidTr="005970D2">
        <w:trPr>
          <w:trHeight w:val="20"/>
        </w:trPr>
        <w:tc>
          <w:tcPr>
            <w:tcW w:w="1862" w:type="pct"/>
            <w:gridSpan w:val="2"/>
          </w:tcPr>
          <w:p w:rsidR="003D188E" w:rsidRPr="003B3A21" w:rsidRDefault="003D188E" w:rsidP="005970D2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1"/>
              <w:rPr>
                <w:b/>
              </w:rPr>
            </w:pPr>
            <w:r w:rsidRPr="003B3A21">
              <w:rPr>
                <w:b/>
              </w:rPr>
              <w:t xml:space="preserve">Нераспределенный резерв </w:t>
            </w:r>
            <w:r w:rsidRPr="005D09DF">
              <w:t>(бюджет Губкинского городского округа Белгородской области) (при наличии)</w:t>
            </w:r>
          </w:p>
        </w:tc>
        <w:tc>
          <w:tcPr>
            <w:tcW w:w="589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  <w:tc>
          <w:tcPr>
            <w:tcW w:w="359" w:type="pct"/>
            <w:vAlign w:val="center"/>
          </w:tcPr>
          <w:p w:rsidR="003D188E" w:rsidRDefault="003D188E" w:rsidP="005970D2">
            <w:pPr>
              <w:jc w:val="center"/>
            </w:pPr>
            <w:r w:rsidRPr="00970CDB">
              <w:t>-</w:t>
            </w:r>
          </w:p>
        </w:tc>
      </w:tr>
    </w:tbl>
    <w:p w:rsidR="00AE6706" w:rsidRPr="003B3A21" w:rsidRDefault="00AE6706" w:rsidP="00AE6706">
      <w:pPr>
        <w:rPr>
          <w:sz w:val="10"/>
          <w:szCs w:val="10"/>
        </w:rPr>
      </w:pPr>
    </w:p>
    <w:p w:rsidR="002F2C5C" w:rsidRPr="00D93D8A" w:rsidRDefault="002F2C5C" w:rsidP="00AF7395">
      <w:pPr>
        <w:pStyle w:val="4"/>
        <w:spacing w:before="0" w:after="0"/>
      </w:pPr>
    </w:p>
    <w:sectPr w:rsidR="002F2C5C" w:rsidRPr="00D93D8A" w:rsidSect="008A776D">
      <w:footerReference w:type="firs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31C" w:rsidRDefault="00C9331C" w:rsidP="008A776D">
      <w:r>
        <w:separator/>
      </w:r>
    </w:p>
  </w:endnote>
  <w:endnote w:type="continuationSeparator" w:id="0">
    <w:p w:rsidR="00C9331C" w:rsidRDefault="00C9331C" w:rsidP="008A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7C" w:rsidRPr="0069582F" w:rsidRDefault="00C9331C" w:rsidP="00A00D04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7D307C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31C" w:rsidRDefault="00C9331C" w:rsidP="008A776D">
      <w:r>
        <w:separator/>
      </w:r>
    </w:p>
  </w:footnote>
  <w:footnote w:type="continuationSeparator" w:id="0">
    <w:p w:rsidR="00C9331C" w:rsidRDefault="00C9331C" w:rsidP="008A7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96AEF"/>
    <w:multiLevelType w:val="hybridMultilevel"/>
    <w:tmpl w:val="D41E1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76D"/>
    <w:rsid w:val="00035F1A"/>
    <w:rsid w:val="00040891"/>
    <w:rsid w:val="0004670D"/>
    <w:rsid w:val="00080651"/>
    <w:rsid w:val="000F5BDF"/>
    <w:rsid w:val="000F5EE7"/>
    <w:rsid w:val="00252077"/>
    <w:rsid w:val="00253F17"/>
    <w:rsid w:val="002547BD"/>
    <w:rsid w:val="002B0A47"/>
    <w:rsid w:val="002B20DC"/>
    <w:rsid w:val="002D45BE"/>
    <w:rsid w:val="002F2C5C"/>
    <w:rsid w:val="003D188E"/>
    <w:rsid w:val="00411AC4"/>
    <w:rsid w:val="004121A3"/>
    <w:rsid w:val="004266C9"/>
    <w:rsid w:val="0047528F"/>
    <w:rsid w:val="004952AC"/>
    <w:rsid w:val="004B108C"/>
    <w:rsid w:val="004B12B2"/>
    <w:rsid w:val="0050036B"/>
    <w:rsid w:val="00546FE4"/>
    <w:rsid w:val="005970D2"/>
    <w:rsid w:val="005A4116"/>
    <w:rsid w:val="005A7A20"/>
    <w:rsid w:val="005C5F6E"/>
    <w:rsid w:val="005E2C0E"/>
    <w:rsid w:val="005F2A73"/>
    <w:rsid w:val="005F4ED1"/>
    <w:rsid w:val="006234B2"/>
    <w:rsid w:val="006436BF"/>
    <w:rsid w:val="00664726"/>
    <w:rsid w:val="006B30CD"/>
    <w:rsid w:val="006F6D23"/>
    <w:rsid w:val="007B3C9C"/>
    <w:rsid w:val="007C65FD"/>
    <w:rsid w:val="007D307C"/>
    <w:rsid w:val="008A776D"/>
    <w:rsid w:val="008F05FC"/>
    <w:rsid w:val="0090078A"/>
    <w:rsid w:val="00911EB2"/>
    <w:rsid w:val="009132DD"/>
    <w:rsid w:val="00926C05"/>
    <w:rsid w:val="009850E1"/>
    <w:rsid w:val="009C5250"/>
    <w:rsid w:val="009D4580"/>
    <w:rsid w:val="009E236E"/>
    <w:rsid w:val="00A00D04"/>
    <w:rsid w:val="00A5320A"/>
    <w:rsid w:val="00AA4093"/>
    <w:rsid w:val="00AB00FB"/>
    <w:rsid w:val="00AB42EE"/>
    <w:rsid w:val="00AB51CD"/>
    <w:rsid w:val="00AE0EE0"/>
    <w:rsid w:val="00AE6706"/>
    <w:rsid w:val="00AF663E"/>
    <w:rsid w:val="00AF7395"/>
    <w:rsid w:val="00B074D9"/>
    <w:rsid w:val="00B73B16"/>
    <w:rsid w:val="00B967B7"/>
    <w:rsid w:val="00BB6BDE"/>
    <w:rsid w:val="00C60886"/>
    <w:rsid w:val="00C9331C"/>
    <w:rsid w:val="00CB3F97"/>
    <w:rsid w:val="00D25A13"/>
    <w:rsid w:val="00D75B25"/>
    <w:rsid w:val="00D81B7C"/>
    <w:rsid w:val="00E25C18"/>
    <w:rsid w:val="00E4459B"/>
    <w:rsid w:val="00E84D2A"/>
    <w:rsid w:val="00E937CD"/>
    <w:rsid w:val="00ED12C3"/>
    <w:rsid w:val="00F129E2"/>
    <w:rsid w:val="00F30BCC"/>
    <w:rsid w:val="00F74167"/>
    <w:rsid w:val="00F771E9"/>
    <w:rsid w:val="00FA5417"/>
    <w:rsid w:val="00FD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776D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6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8A776D"/>
    <w:pPr>
      <w:spacing w:before="120" w:after="120"/>
      <w:ind w:left="0"/>
      <w:jc w:val="center"/>
      <w:outlineLvl w:val="3"/>
    </w:pPr>
    <w:rPr>
      <w:rFonts w:eastAsia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8A776D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40">
    <w:name w:val="Заголовок 4 Знак"/>
    <w:basedOn w:val="a1"/>
    <w:link w:val="4"/>
    <w:uiPriority w:val="9"/>
    <w:rsid w:val="008A776D"/>
    <w:rPr>
      <w:rFonts w:ascii="Times New Roman" w:eastAsia="Calibri" w:hAnsi="Times New Roman" w:cs="Times New Roman"/>
    </w:rPr>
  </w:style>
  <w:style w:type="paragraph" w:styleId="a4">
    <w:name w:val="footnote text"/>
    <w:basedOn w:val="a"/>
    <w:link w:val="a5"/>
    <w:uiPriority w:val="99"/>
    <w:unhideWhenUsed/>
    <w:rsid w:val="008A776D"/>
    <w:rPr>
      <w:rFonts w:eastAsia="Calibri"/>
      <w:sz w:val="18"/>
      <w:lang w:eastAsia="en-US"/>
    </w:rPr>
  </w:style>
  <w:style w:type="character" w:customStyle="1" w:styleId="a5">
    <w:name w:val="Текст сноски Знак"/>
    <w:basedOn w:val="a1"/>
    <w:link w:val="a4"/>
    <w:uiPriority w:val="99"/>
    <w:rsid w:val="008A776D"/>
    <w:rPr>
      <w:rFonts w:ascii="Times New Roman" w:eastAsia="Calibri" w:hAnsi="Times New Roman" w:cs="Times New Roman"/>
      <w:sz w:val="18"/>
      <w:szCs w:val="20"/>
    </w:rPr>
  </w:style>
  <w:style w:type="character" w:styleId="a6">
    <w:name w:val="footnote reference"/>
    <w:uiPriority w:val="99"/>
    <w:unhideWhenUsed/>
    <w:rsid w:val="008A776D"/>
    <w:rPr>
      <w:rFonts w:ascii="Times New Roman" w:hAnsi="Times New Roman" w:cs="Times New Roman" w:hint="default"/>
      <w:vertAlign w:val="superscript"/>
    </w:rPr>
  </w:style>
  <w:style w:type="paragraph" w:styleId="a0">
    <w:name w:val="List Paragraph"/>
    <w:basedOn w:val="a"/>
    <w:uiPriority w:val="34"/>
    <w:qFormat/>
    <w:rsid w:val="008A776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234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2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234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23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0D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AF663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F663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25A1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25A1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Винников</dc:creator>
  <cp:lastModifiedBy>Екатерина</cp:lastModifiedBy>
  <cp:revision>15</cp:revision>
  <cp:lastPrinted>2024-11-14T07:10:00Z</cp:lastPrinted>
  <dcterms:created xsi:type="dcterms:W3CDTF">2024-11-14T14:56:00Z</dcterms:created>
  <dcterms:modified xsi:type="dcterms:W3CDTF">2024-12-09T06:18:00Z</dcterms:modified>
</cp:coreProperties>
</file>