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E6" w:rsidRDefault="003A56E6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A56E6" w:rsidRDefault="003A56E6">
      <w:pPr>
        <w:pStyle w:val="ConsPlusNormal"/>
        <w:jc w:val="both"/>
        <w:outlineLvl w:val="0"/>
      </w:pPr>
    </w:p>
    <w:p w:rsidR="003A56E6" w:rsidRDefault="003A56E6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3A56E6" w:rsidRDefault="003A56E6">
      <w:pPr>
        <w:pStyle w:val="ConsPlusTitle"/>
        <w:jc w:val="center"/>
      </w:pPr>
      <w:r>
        <w:t>БЕЛГОРОДСКОЙ ОБЛАСТИ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ПОСТАНОВЛЕНИЕ</w:t>
      </w:r>
    </w:p>
    <w:p w:rsidR="003A56E6" w:rsidRDefault="003A56E6">
      <w:pPr>
        <w:pStyle w:val="ConsPlusTitle"/>
        <w:jc w:val="center"/>
      </w:pPr>
      <w:r>
        <w:t>от 10 октября 2013 г. N 2458-па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ОБ УТВЕРЖДЕНИИ МУНИЦИПАЛЬНОЙ ПРОГРАММЫ "РАЗВИТИЕ</w:t>
      </w:r>
    </w:p>
    <w:p w:rsidR="003A56E6" w:rsidRDefault="003A56E6">
      <w:pPr>
        <w:pStyle w:val="ConsPlusTitle"/>
        <w:jc w:val="center"/>
      </w:pPr>
      <w:r>
        <w:t>ЭКОНОМИЧЕСКОГО 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5">
              <w:r>
                <w:rPr>
                  <w:color w:val="0000FF"/>
                </w:rPr>
                <w:t>N 904-па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6">
              <w:r>
                <w:rPr>
                  <w:color w:val="0000FF"/>
                </w:rPr>
                <w:t>N 1904-па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25.03.2015 </w:t>
            </w:r>
            <w:hyperlink r:id="rId7">
              <w:r>
                <w:rPr>
                  <w:color w:val="0000FF"/>
                </w:rPr>
                <w:t>N 619-па</w:t>
              </w:r>
            </w:hyperlink>
            <w:r>
              <w:rPr>
                <w:color w:val="392C69"/>
              </w:rPr>
              <w:t xml:space="preserve">, от 29.12.2015 </w:t>
            </w:r>
            <w:hyperlink r:id="rId8">
              <w:r>
                <w:rPr>
                  <w:color w:val="0000FF"/>
                </w:rPr>
                <w:t>N 2609-па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9">
              <w:r>
                <w:rPr>
                  <w:color w:val="0000FF"/>
                </w:rPr>
                <w:t>N 2789-па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10">
              <w:r>
                <w:rPr>
                  <w:color w:val="0000FF"/>
                </w:rPr>
                <w:t>N 2033-па</w:t>
              </w:r>
            </w:hyperlink>
            <w:r>
              <w:rPr>
                <w:color w:val="392C69"/>
              </w:rPr>
              <w:t xml:space="preserve">, от 25.04.2018 </w:t>
            </w:r>
            <w:hyperlink r:id="rId11">
              <w:r>
                <w:rPr>
                  <w:color w:val="0000FF"/>
                </w:rPr>
                <w:t>N 633-па</w:t>
              </w:r>
            </w:hyperlink>
            <w:r>
              <w:rPr>
                <w:color w:val="392C69"/>
              </w:rPr>
              <w:t xml:space="preserve">, от 24.08.2018 </w:t>
            </w:r>
            <w:hyperlink r:id="rId12">
              <w:r>
                <w:rPr>
                  <w:color w:val="0000FF"/>
                </w:rPr>
                <w:t>N 1362-па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>
              <w:r>
                <w:rPr>
                  <w:color w:val="0000FF"/>
                </w:rPr>
                <w:t>N 2175-па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4">
              <w:r>
                <w:rPr>
                  <w:color w:val="0000FF"/>
                </w:rPr>
                <w:t>N 1612-па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5">
              <w:r>
                <w:rPr>
                  <w:color w:val="0000FF"/>
                </w:rPr>
                <w:t>N 2250-па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28.08.2020 </w:t>
            </w:r>
            <w:hyperlink r:id="rId16">
              <w:r>
                <w:rPr>
                  <w:color w:val="0000FF"/>
                </w:rPr>
                <w:t>N 1164-па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7">
              <w:r>
                <w:rPr>
                  <w:color w:val="0000FF"/>
                </w:rPr>
                <w:t>N 1945-па</w:t>
              </w:r>
            </w:hyperlink>
            <w:r>
              <w:rPr>
                <w:color w:val="392C69"/>
              </w:rPr>
              <w:t xml:space="preserve">, от 01.04.2021 </w:t>
            </w:r>
            <w:hyperlink r:id="rId18">
              <w:r>
                <w:rPr>
                  <w:color w:val="0000FF"/>
                </w:rPr>
                <w:t>N 448-па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 w:rsidP="00ED4A8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14.10.2021 </w:t>
            </w:r>
            <w:hyperlink r:id="rId19">
              <w:r>
                <w:rPr>
                  <w:color w:val="0000FF"/>
                </w:rPr>
                <w:t>N 1636-па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0">
              <w:r>
                <w:rPr>
                  <w:color w:val="0000FF"/>
                </w:rPr>
                <w:t>N 2223-па</w:t>
              </w:r>
            </w:hyperlink>
            <w:r w:rsidR="0011313F">
              <w:rPr>
                <w:color w:val="0000FF"/>
              </w:rPr>
              <w:t xml:space="preserve">, </w:t>
            </w:r>
            <w:r w:rsidR="0011313F" w:rsidRPr="0011313F">
              <w:rPr>
                <w:color w:val="0000FF"/>
              </w:rPr>
              <w:t>от 2</w:t>
            </w:r>
            <w:r w:rsidR="0011313F">
              <w:rPr>
                <w:color w:val="0000FF"/>
              </w:rPr>
              <w:t>1</w:t>
            </w:r>
            <w:r w:rsidR="0011313F" w:rsidRPr="0011313F">
              <w:rPr>
                <w:color w:val="0000FF"/>
              </w:rPr>
              <w:t>.12.202</w:t>
            </w:r>
            <w:r w:rsidR="0011313F">
              <w:rPr>
                <w:color w:val="0000FF"/>
              </w:rPr>
              <w:t>2</w:t>
            </w:r>
            <w:r w:rsidR="0011313F" w:rsidRPr="0011313F">
              <w:rPr>
                <w:color w:val="0000FF"/>
              </w:rPr>
              <w:t xml:space="preserve"> N </w:t>
            </w:r>
            <w:r w:rsidR="0011313F">
              <w:rPr>
                <w:color w:val="0000FF"/>
              </w:rPr>
              <w:t>2571</w:t>
            </w:r>
            <w:r w:rsidR="0011313F" w:rsidRPr="0011313F">
              <w:rPr>
                <w:color w:val="0000FF"/>
              </w:rPr>
              <w:t>-па</w:t>
            </w:r>
            <w:r w:rsidR="00DA08E7">
              <w:rPr>
                <w:color w:val="0000FF"/>
              </w:rPr>
              <w:t>,</w:t>
            </w:r>
            <w:r w:rsidR="00DA08E7">
              <w:t xml:space="preserve">                                                </w:t>
            </w:r>
            <w:r w:rsidR="00DA08E7" w:rsidRPr="00DA08E7">
              <w:rPr>
                <w:color w:val="323E4F" w:themeColor="text2" w:themeShade="BF"/>
              </w:rPr>
              <w:t xml:space="preserve">от 24.03.2023 </w:t>
            </w:r>
            <w:r w:rsidR="00DA08E7" w:rsidRPr="00DA08E7">
              <w:rPr>
                <w:color w:val="0000FF"/>
              </w:rPr>
              <w:t xml:space="preserve">N </w:t>
            </w:r>
            <w:r w:rsidR="00DA08E7">
              <w:rPr>
                <w:color w:val="0000FF"/>
              </w:rPr>
              <w:t>429</w:t>
            </w:r>
            <w:r w:rsidR="00DA08E7" w:rsidRPr="00DA08E7">
              <w:rPr>
                <w:color w:val="0000FF"/>
              </w:rPr>
              <w:t>-па</w:t>
            </w:r>
            <w:r w:rsidR="00471D4B">
              <w:rPr>
                <w:color w:val="0000FF"/>
              </w:rPr>
              <w:t xml:space="preserve">, </w:t>
            </w:r>
            <w:r w:rsidR="00471D4B" w:rsidRPr="00471D4B">
              <w:rPr>
                <w:color w:val="808080" w:themeColor="background1" w:themeShade="80"/>
              </w:rPr>
              <w:t xml:space="preserve">от </w:t>
            </w:r>
            <w:r w:rsidR="00ED4A87">
              <w:rPr>
                <w:color w:val="808080" w:themeColor="background1" w:themeShade="80"/>
              </w:rPr>
              <w:t>16</w:t>
            </w:r>
            <w:r w:rsidR="00471D4B" w:rsidRPr="00471D4B">
              <w:rPr>
                <w:color w:val="808080" w:themeColor="background1" w:themeShade="80"/>
              </w:rPr>
              <w:t>.</w:t>
            </w:r>
            <w:r w:rsidR="00ED4A87">
              <w:rPr>
                <w:color w:val="808080" w:themeColor="background1" w:themeShade="80"/>
              </w:rPr>
              <w:t>10</w:t>
            </w:r>
            <w:r w:rsidR="00471D4B" w:rsidRPr="00471D4B">
              <w:rPr>
                <w:color w:val="808080" w:themeColor="background1" w:themeShade="80"/>
              </w:rPr>
              <w:t xml:space="preserve">.2023 </w:t>
            </w:r>
            <w:r w:rsidR="00471D4B" w:rsidRPr="00471D4B">
              <w:rPr>
                <w:color w:val="0000FF"/>
              </w:rPr>
              <w:t xml:space="preserve">N </w:t>
            </w:r>
            <w:r w:rsidR="00ED4A87">
              <w:rPr>
                <w:color w:val="0000FF"/>
              </w:rPr>
              <w:t>1432</w:t>
            </w:r>
            <w:r w:rsidR="00471D4B" w:rsidRPr="00471D4B">
              <w:rPr>
                <w:color w:val="0000FF"/>
              </w:rPr>
              <w:t>-па</w:t>
            </w:r>
            <w:r w:rsidR="00DA08E7">
              <w:rPr>
                <w:color w:val="0000FF"/>
              </w:rPr>
              <w:t xml:space="preserve"> 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3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</w:t>
      </w:r>
      <w:hyperlink r:id="rId24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от 6 июня 2013 года N 1335-па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 постановляю:</w:t>
      </w:r>
    </w:p>
    <w:p w:rsidR="003A56E6" w:rsidRDefault="003A56E6">
      <w:pPr>
        <w:pStyle w:val="ConsPlusNormal"/>
        <w:jc w:val="both"/>
      </w:pPr>
      <w:r>
        <w:t xml:space="preserve">(преамбула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51">
        <w:r>
          <w:rPr>
            <w:color w:val="0000FF"/>
          </w:rPr>
          <w:t>программу</w:t>
        </w:r>
      </w:hyperlink>
      <w:r>
        <w:t xml:space="preserve">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Программа).</w:t>
      </w:r>
    </w:p>
    <w:p w:rsidR="003A56E6" w:rsidRDefault="003A56E6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27.12.2018 </w:t>
      </w:r>
      <w:hyperlink r:id="rId26">
        <w:r>
          <w:rPr>
            <w:color w:val="0000FF"/>
          </w:rPr>
          <w:t>N 2175-па</w:t>
        </w:r>
      </w:hyperlink>
      <w:r>
        <w:t xml:space="preserve">, от 26.12.2020 </w:t>
      </w:r>
      <w:hyperlink r:id="rId27">
        <w:r>
          <w:rPr>
            <w:color w:val="0000FF"/>
          </w:rPr>
          <w:t>N 1945-па</w:t>
        </w:r>
      </w:hyperlink>
      <w:r>
        <w:t>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Белгородской области денежные средства на финансирование мероприятий Программы.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4. Считать утратившими силу с 1 января 2014 года постановления администрации Губкинского городского округа: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28 марта 2013 года </w:t>
      </w:r>
      <w:hyperlink r:id="rId29">
        <w:r>
          <w:rPr>
            <w:color w:val="0000FF"/>
          </w:rPr>
          <w:t>N 670-па</w:t>
        </w:r>
      </w:hyperlink>
      <w:r>
        <w:t xml:space="preserve"> "Об утверждении долгосрочной целевой программы "Развитие общественного питания на территории Губкинского городского округа на 2013 - 2017 годы";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6 декабря 2012 года </w:t>
      </w:r>
      <w:hyperlink r:id="rId30">
        <w:r>
          <w:rPr>
            <w:color w:val="0000FF"/>
          </w:rPr>
          <w:t>N 2390-па</w:t>
        </w:r>
      </w:hyperlink>
      <w:r>
        <w:t xml:space="preserve">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5. Контроль за исполнением постановления возложить на заместителя главы администрации Сотник Л.А.</w:t>
      </w:r>
    </w:p>
    <w:p w:rsidR="003A56E6" w:rsidRDefault="003A56E6">
      <w:pPr>
        <w:pStyle w:val="ConsPlusNormal"/>
        <w:jc w:val="both"/>
      </w:pPr>
      <w:r>
        <w:lastRenderedPageBreak/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Глава администрации</w:t>
      </w:r>
    </w:p>
    <w:p w:rsidR="003A56E6" w:rsidRDefault="003A56E6">
      <w:pPr>
        <w:pStyle w:val="ConsPlusNormal"/>
        <w:jc w:val="right"/>
      </w:pPr>
      <w:r>
        <w:t>А.КРЕТОВ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0"/>
      </w:pPr>
      <w:r>
        <w:t>Утверждена</w:t>
      </w:r>
    </w:p>
    <w:p w:rsidR="003A56E6" w:rsidRDefault="003A56E6">
      <w:pPr>
        <w:pStyle w:val="ConsPlusNormal"/>
        <w:jc w:val="right"/>
      </w:pPr>
      <w:r>
        <w:t>постановлением</w:t>
      </w:r>
    </w:p>
    <w:p w:rsidR="003A56E6" w:rsidRDefault="003A56E6">
      <w:pPr>
        <w:pStyle w:val="ConsPlusNormal"/>
        <w:jc w:val="right"/>
      </w:pPr>
      <w:r>
        <w:t>администрации Губкинского</w:t>
      </w:r>
    </w:p>
    <w:p w:rsidR="003A56E6" w:rsidRDefault="003A56E6">
      <w:pPr>
        <w:pStyle w:val="ConsPlusNormal"/>
        <w:jc w:val="right"/>
      </w:pPr>
      <w:r>
        <w:t>городского округа</w:t>
      </w:r>
    </w:p>
    <w:p w:rsidR="003A56E6" w:rsidRDefault="003A56E6">
      <w:pPr>
        <w:pStyle w:val="ConsPlusNormal"/>
        <w:jc w:val="right"/>
      </w:pPr>
      <w:r>
        <w:t>от 10 октября 2013 г. N 2458-па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0" w:name="P51"/>
      <w:bookmarkEnd w:id="0"/>
      <w:r>
        <w:t>МУНИЦИПАЛЬНАЯ ПРОГРАММА</w:t>
      </w:r>
    </w:p>
    <w:p w:rsidR="003A56E6" w:rsidRDefault="003A56E6">
      <w:pPr>
        <w:pStyle w:val="ConsPlusTitle"/>
        <w:jc w:val="center"/>
      </w:pPr>
      <w:r>
        <w:t>ГУБКИНСКОГО ГОРОДСКОГО ОКРУГА "РАЗВИТИЕ ЭКОНОМИЧЕСКОГО</w:t>
      </w:r>
    </w:p>
    <w:p w:rsidR="003A56E6" w:rsidRDefault="003A56E6">
      <w:pPr>
        <w:pStyle w:val="ConsPlusTitle"/>
        <w:jc w:val="center"/>
      </w:pPr>
      <w:r>
        <w:t>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Паспорт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 (далее - Программа)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политики), 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1. </w:t>
            </w:r>
            <w:hyperlink w:anchor="P430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общественного питания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2. </w:t>
            </w:r>
            <w:hyperlink w:anchor="P722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торговли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3. </w:t>
            </w:r>
            <w:hyperlink w:anchor="P1027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 поддержка малого и среднего предпринимательства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Задача 1. Максимально полное удовлетворение потребностей </w:t>
            </w:r>
            <w:r>
              <w:lastRenderedPageBreak/>
              <w:t>населения городского округа в услугах общественного питания за 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>Задача 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</w:t>
            </w:r>
            <w:r w:rsidR="00C44003">
              <w:t>6</w:t>
            </w:r>
            <w:r>
              <w:t xml:space="preserve">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 w:rsidP="00C44003">
            <w:pPr>
              <w:pStyle w:val="ConsPlusNormal"/>
              <w:jc w:val="both"/>
            </w:pPr>
            <w:r>
              <w:t>II этап: 2021 - 202</w:t>
            </w:r>
            <w:r w:rsidR="00C44003">
              <w:t>6</w:t>
            </w:r>
            <w:r>
              <w:t xml:space="preserve">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Общий объем ресурсного обеспечения Программы на 2014 - 2025 годы - 86</w:t>
            </w:r>
            <w:r w:rsidR="002C0391">
              <w:t>615</w:t>
            </w:r>
            <w:r>
              <w:t>,</w:t>
            </w:r>
            <w:r w:rsidR="002C0391">
              <w:t>1</w:t>
            </w:r>
            <w:r>
              <w:t xml:space="preserve">12 тыс. рублей, в том числе за счет средств федерального бюджета </w:t>
            </w:r>
            <w:hyperlink w:anchor="P158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- 4</w:t>
            </w:r>
            <w:r w:rsidR="002C0391">
              <w:t>429</w:t>
            </w:r>
            <w:r>
              <w:t>,</w:t>
            </w:r>
            <w:r w:rsidR="002C0391">
              <w:t>8</w:t>
            </w:r>
            <w:r>
              <w:t>112 тыс. руб., средств иных источников - 14443,6 тыс. руб.,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2C0391" w:rsidRDefault="002C0391">
            <w:pPr>
              <w:pStyle w:val="ConsPlusNormal"/>
              <w:jc w:val="both"/>
            </w:pPr>
            <w:r>
              <w:t xml:space="preserve">2026 год - </w:t>
            </w:r>
            <w:r w:rsidRPr="002C0391">
              <w:t>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2C0391" w:rsidRDefault="002C0391">
            <w:pPr>
              <w:pStyle w:val="ConsPlusNormal"/>
              <w:jc w:val="both"/>
            </w:pPr>
            <w:r w:rsidRPr="002C0391">
              <w:t>2026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- 69,512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- 161,5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- 248,0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- 522,2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- 1699,9 тыс.,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- 745,0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2021 год - 116,0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- 1</w:t>
            </w:r>
            <w:r w:rsidR="0011313F">
              <w:t>43</w:t>
            </w:r>
            <w:r>
              <w:t>,</w:t>
            </w:r>
            <w:r w:rsidR="0011313F">
              <w:t>7</w:t>
            </w:r>
            <w:r>
              <w:t xml:space="preserve">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- 1</w:t>
            </w:r>
            <w:r w:rsidR="00DA7B86">
              <w:t>40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- 1</w:t>
            </w:r>
            <w:r w:rsidR="00DA7B86">
              <w:t>40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- 1</w:t>
            </w:r>
            <w:r w:rsidR="00DA7B86">
              <w:t>40</w:t>
            </w:r>
            <w:r>
              <w:t>,0 тыс. рублей;</w:t>
            </w:r>
          </w:p>
          <w:p w:rsidR="002C0391" w:rsidRDefault="002C0391">
            <w:pPr>
              <w:pStyle w:val="ConsPlusNormal"/>
              <w:jc w:val="both"/>
            </w:pPr>
            <w:r w:rsidRPr="002C0391">
              <w:t>2026 год - 140,0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 w:rsidP="00FF4CCA">
            <w:pPr>
              <w:pStyle w:val="ConsPlusNormal"/>
              <w:jc w:val="both"/>
            </w:pPr>
            <w:r>
              <w:t>На реализацию мероприятий Программы, кроме того, предусмотрено в 2014 - 202</w:t>
            </w:r>
            <w:r w:rsidR="00FF4CCA">
              <w:t>6</w:t>
            </w:r>
            <w:r>
              <w:t xml:space="preserve"> годах предоставление муниципальной гарантии Губкинского городского округа Белгородской области в объеме 3 млн. рублей. </w:t>
            </w:r>
            <w:hyperlink w:anchor="P156">
              <w:r>
                <w:rPr>
                  <w:color w:val="0000FF"/>
                </w:rPr>
                <w:t>&lt;*&gt;</w:t>
              </w:r>
            </w:hyperlink>
            <w:r>
              <w:t xml:space="preserve"> Объемы финансирования мероприятий Программы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Количество посадочных мест в предприятиях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2. Обеспеченность торговыми площадями на 1 тысячу жителей.</w:t>
            </w:r>
          </w:p>
          <w:p w:rsidR="003A56E6" w:rsidRDefault="003A56E6">
            <w:pPr>
              <w:pStyle w:val="ConsPlusNormal"/>
              <w:jc w:val="both"/>
            </w:pPr>
            <w:r>
              <w:t>3. Доля занятых в малом и среднем бизнесе, включая ИП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Программы </w:t>
            </w:r>
            <w:hyperlink w:anchor="P157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К 202</w:t>
            </w:r>
            <w:r w:rsidR="00FF4CCA">
              <w:t>6</w:t>
            </w:r>
            <w:r>
              <w:t xml:space="preserve"> году планируется достижение следующих целевых показателей:</w:t>
            </w:r>
          </w:p>
          <w:p w:rsidR="003A56E6" w:rsidRDefault="003A56E6">
            <w:pPr>
              <w:pStyle w:val="ConsPlusNormal"/>
              <w:jc w:val="both"/>
            </w:pPr>
            <w:r>
              <w:t>- увеличение количества посадочных мест в предприятиях общественного питания до 9</w:t>
            </w:r>
            <w:r w:rsidR="00FF4CCA">
              <w:t>2</w:t>
            </w:r>
            <w:r>
              <w:t>00 ед.;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- рост обеспеченности торговыми площадями на 1 тысячу жителей до </w:t>
            </w:r>
            <w:r w:rsidR="00FF4CCA">
              <w:t>805,8</w:t>
            </w:r>
            <w:r>
              <w:t xml:space="preserve"> кв. м;</w:t>
            </w:r>
          </w:p>
          <w:p w:rsidR="003A56E6" w:rsidRDefault="003A56E6" w:rsidP="00FF4CCA">
            <w:pPr>
              <w:pStyle w:val="ConsPlusNormal"/>
              <w:jc w:val="both"/>
            </w:pPr>
            <w:r>
              <w:t xml:space="preserve">- увеличение доли занятых в малом и среднем бизнесе, включая ИП, в общей численности до </w:t>
            </w:r>
            <w:r w:rsidR="00FF4CCA">
              <w:t>29</w:t>
            </w:r>
            <w:r>
              <w:t>,1%</w:t>
            </w:r>
            <w:r w:rsidR="00FF4CCA">
              <w:t>;</w:t>
            </w:r>
          </w:p>
          <w:p w:rsidR="00FF4CCA" w:rsidRDefault="00FF4CCA" w:rsidP="00FF4CCA">
            <w:pPr>
              <w:pStyle w:val="ConsPlusNormal"/>
              <w:jc w:val="both"/>
            </w:pPr>
            <w:r>
              <w:t xml:space="preserve">- </w:t>
            </w:r>
            <w:r w:rsidRPr="00FF4CCA">
              <w:t>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до 1,059 единиц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1" w:name="P156"/>
      <w:bookmarkEnd w:id="1"/>
      <w:r>
        <w:t>&lt;*&gt; решением Совета депутатов Губкинского городского округа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годом.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2" w:name="P157"/>
      <w:bookmarkEnd w:id="2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3" w:name="P158"/>
      <w:bookmarkEnd w:id="3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1. Общая характеристика сферы реализации Программы,</w:t>
      </w:r>
    </w:p>
    <w:p w:rsidR="003A56E6" w:rsidRDefault="003A56E6">
      <w:pPr>
        <w:pStyle w:val="ConsPlusTitle"/>
        <w:jc w:val="center"/>
      </w:pPr>
      <w:r>
        <w:t>в том числе формулировки основных проблем</w:t>
      </w:r>
    </w:p>
    <w:p w:rsidR="003A56E6" w:rsidRDefault="003A56E6">
      <w:pPr>
        <w:pStyle w:val="ConsPlusTitle"/>
        <w:jc w:val="center"/>
      </w:pPr>
      <w:r>
        <w:t>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По данным департамента экономического развития Белгородской области, объем валового муниципального продукта Губкинского городского округа Белгородской области (далее - ВМП городского округа) в 2013 году в основных текущих ценах составил 73020,12 млн. рублей, удельный вес в валовом региональном продукте Белгородской области (далее - ВРП Белгородской области) - 12,74% (третье место среди муниципальных районов Белгородской области). Основной вклад в ВМП городского округа в 2013 году внесли виды деятельности по добыче полезных ископаемых, обрабатывающие производства, доля которых составила 77,07%. Далее следуют такие виды экономической деятельности, как сельское хозяйство, оптовая и розничная торговля, строительство. Совокупная доля перечисленных видов экономической деятельности в общем </w:t>
      </w:r>
      <w:r>
        <w:lastRenderedPageBreak/>
        <w:t>объеме ВМП городского округа за 2013 год составила 89,72%.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Оборот розничной торговли в городском округе, по данным за 2013 год, составил 14,5 млрд. рублей, что в сопоставимых ценах на 3,9% выше показателей прошлого года. В физическом объеме к уровню 2008 года значение показателя выросло в 2,8 раза, опередив среднероссийские темпы роста. На долю городского округа приходится 6,5% общего объема оборота розничной торговли области в 2013 году. В расчете на душу населения оборот розничной торговли составил 120 тыс. рублей, что ниже областного значения.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году 262,5 млн.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 Обеспеченность торговыми площадями в расчете на 1000 жителей составила 603 кв. метра.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городского округа в эксплуатацию введены 42 магазина. 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Сохраняя устойчивые темпы роста экономики на протяжении последних 3 лет, городской округ является одним из лидеров экономического роста. Однако в 2009 году в результате мирового финансово-экономического кризиса ВМП городского округа снизился (в действующих ценах) на 34,6% относительно уровня 2008 года. В сравнении с динамикой ВРП Белгородской области и крупных промышленных муниципальных образований области экономика Губкинского городского округа Белгородской области испытала одно из самых существенных сокращений.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общим макроэкономическим рискам развития экономического потенциала Губкинского городского округа Белгородской области можно отнести: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а) рост инфраструктурных ограничений. Прежде всего, это касается электроэнергетической инфраструктуры: имеет место дефицит пропускной способности основной сети в электроснабжении промышленного узла Южные Коробки и других территориальных образований; имеется значительное количество дефицитных центров питания потребителей по пропускной способности распределительной сети и мощности подстанций. Другим инфраструктурным ограничением в Губкинском городском округе Белгородской области является дефицит природного газа, который негативно сказывается на конкурентоспособности предприятий электроэнергетики и всего промышленного комплекса, а также может в будущем поставить под сомнение реализацию крупных индустриальных проектов. Существуют ограничения для социально-экономического развития в состоянии транспортной инфраструктуры;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интенсификация конкуренции за рынки сбыта продукции и за ресурсы развития. Во-первых, конкуренция на рынках специализации городского округа (металлургия, легкая промышленность, АПК и другие отрасли) будет только усиливаться. Катализатором, стимулирующим еще большее усиление позиций импорта по отдельным товарным группам, может стать вступление России во Всемирную торговую организацию. Во-вторых, обостряются проблемы конкуренции за ограниченные ресурсы развития на уровне субъектов Российской Федерации, когда регионы стремятся создать привлекательные, уникальные условия для привлечения инвесторов на свои территории. В результате соперничество с соседними регионами за бюджетные и частные инвестиции будет расти;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ухудшение конъюнктуры на мировых рынках специализации. Данное явление может привести к снижению спроса на продукцию производителей. С другой стороны, нестабильность мировых резервных валют, имеющая место в последние годы и прогнозируемая в ближайшей перспективе, будет негативно влиять на конкурентоспособность отечественных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Губкинского городского округа Белгородской области, можно выделить следующие проблемы: слабо развит сегмент по оказанию услуг общественного питания в отдаленных и малочисленных населенных пунктах;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сфере торговли на территории Губкинского городского округа Белгородской области сложились следующие проблемы: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малого и среднего предпринимательства Губкинского городского округа Белгородской области,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Содержание и мероприятия Программы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Программы соответствуют второму стратегическому направлению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Реализация комплекса мероприятий, предусмотренных Программой, позволит обеспечить достижение цели и решение поставленных задач за счет концентрации и координации финансовых, </w:t>
      </w:r>
      <w:r>
        <w:lastRenderedPageBreak/>
        <w:t>имущественных и организационных ресурсов, увязки сроков реализации мероприятий и объемов их финансирования с ожидаемыми результатами, а также будет являться важным инструментом увеличения экономического потенциала Губкинского городского округа Белгородской области.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3A56E6" w:rsidRDefault="003A56E6">
      <w:pPr>
        <w:pStyle w:val="ConsPlusTitle"/>
        <w:jc w:val="center"/>
      </w:pPr>
      <w:r>
        <w:t>Программы, цели, задачи и показатели достижения целей</w:t>
      </w:r>
    </w:p>
    <w:p w:rsidR="003A56E6" w:rsidRDefault="003A56E6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3A56E6" w:rsidRDefault="003A56E6">
      <w:pPr>
        <w:pStyle w:val="ConsPlusTitle"/>
        <w:jc w:val="center"/>
      </w:pPr>
      <w:r>
        <w:t>Программы, сроков и этапов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Приоритеты социально-экономического развития Губкинского городского округа Белгородской области отражены во втором стратегическом направлении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стратегическим задачам развития экономического потенциала Губкинского городского округа Белгородской области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институциональной среды инновационного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благоприятного инвестиционного климата для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сельского хозяйства и промышленности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информационное обеспечение инновационного развития экономики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Исходя из обозначенных стратегических задач и приоритетов целью Программы является 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достижения поставленной цели потребуется решение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развития. В результате реализации Программы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количество посадочных мест в предприятиях общественного питания,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- 9521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- 9700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- 9850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- 9900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- 9950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- 9360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- 9450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- 9470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- 9475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2023 год - 9500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- 9550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- 9600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обеспеченность торговыми площадями на 1 тысячу жителей,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- 602,0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- 625,0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- 630,0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- 641,7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- 658,3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- 680,0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- 691,6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- 747,9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- 758,4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- 772,5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- 786,5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- 788,6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доля занятых в малом и среднем бизнесе, включая ИП,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Программой, будет способствовать увеличению экономического потенциала Губкинского городского округа Белгородской области, формированию благоприятного предпринимательского климата и повышению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Программа реализуется в 2014 - 2025 годах, I этап: 2014 - 2020 годы, II этап: 2021 - 2025 годы. Показатели конечного результата реализации Программы по годам реализации, показатели конечного и непосредственного результатов подпрограмм представлены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Мероприятия Программы и подпрограмм,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3A56E6" w:rsidRDefault="003A56E6">
      <w:pPr>
        <w:pStyle w:val="ConsPlusTitle"/>
        <w:jc w:val="center"/>
      </w:pPr>
      <w:r>
        <w:t>самоуправления Губкинского городского округа Белгородской</w:t>
      </w:r>
    </w:p>
    <w:p w:rsidR="003A56E6" w:rsidRDefault="003A56E6">
      <w:pPr>
        <w:pStyle w:val="ConsPlusTitle"/>
        <w:jc w:val="center"/>
      </w:pPr>
      <w:r>
        <w:t>области, принятие или изменение которых необходимо</w:t>
      </w:r>
    </w:p>
    <w:p w:rsidR="003A56E6" w:rsidRDefault="003A56E6">
      <w:pPr>
        <w:pStyle w:val="ConsPlusTitle"/>
        <w:jc w:val="center"/>
      </w:pPr>
      <w:r>
        <w:t>для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Перечень муниципальных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Программы, представлен в </w:t>
      </w:r>
      <w:hyperlink w:anchor="P2330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Система подпрограмм Программы сформирована таким образом, чтобы достигнуть цель и обеспечить решение задач Программы, и состоит из 3 подпрограмм: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1. </w:t>
      </w:r>
      <w:hyperlink w:anchor="P722">
        <w:r>
          <w:rPr>
            <w:color w:val="0000FF"/>
          </w:rPr>
          <w:t>Подпрограмма</w:t>
        </w:r>
      </w:hyperlink>
      <w:r>
        <w:t xml:space="preserve"> "Развитие общественного питания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стабилизацию процессов в сфере общественного питания для обслуживания населения, возрождение и развитие кулинарной индустрии, организацию общедоступной сети с национальным, традиционным ассортиментом российской и иностранных кухонь, обеспечение рабочими местами специалистов - выпускников учебных заведений общественного питания, повышение квалификации работников основных профессий отрасли, организацию и проведение профессиональных городских конкурсов с целью повышения профессионального мастерства.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 интенсивное развитие сферы общественного питания, повышение качества и безопасности услуг, увеличение оборота общественного питания до 653,7 млн. рублей к 2025 году; увеличение оборота общественного питания на душу населения до 5600 рублей к 2025 году; увеличение показателя обеспеченности населения посадочными местами в предприятиях общественного питания до 83 единиц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2. </w:t>
      </w:r>
      <w:hyperlink w:anchor="P430">
        <w:r>
          <w:rPr>
            <w:color w:val="0000FF"/>
          </w:rPr>
          <w:t>Подпрограмма</w:t>
        </w:r>
      </w:hyperlink>
      <w:r>
        <w:t xml:space="preserve"> "Развитие торговли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экономических условий для повышения эффективности деятельности хозяйствующих субъектов потребительского рынка Губкинского городского округа Белгородской области всех форм собственности, более полного удовлетворения потребностей всех слоев населения в доступных и качественных товарах в цивилизованных формах его организации, повышения культуры обслуживания.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создание условий, направленных на развитие современных форматов торговли, в том числе </w:t>
      </w:r>
      <w:r>
        <w:lastRenderedPageBreak/>
        <w:t>развитие многофункциональных крупных торговых объектов, торговых объектов шаговой 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 и хозяйствующими субъектами, осуществляющими производство (поставки) товаров на территории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позволит обеспечить увеличение розничного товарооборота до 32,9 млрд. рублей к 2025 году, увеличение розничного товарооборота на душу населения до 282,7 тыс. рублей к 2025 году, увеличение показателя обеспеченности населения торговыми площадями в предприятиях торговли до 788,6 кв. м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 </w:t>
      </w:r>
      <w:hyperlink w:anchor="P1027">
        <w:r>
          <w:rPr>
            <w:color w:val="0000FF"/>
          </w:rPr>
          <w:t>Подпрограмма</w:t>
        </w:r>
      </w:hyperlink>
      <w:r>
        <w:t xml:space="preserve"> "Развитие и поддержка малого и среднего предпринимательства в Губкинском городском округе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содействие участию в ремесленной и выставочно-ярмарочной деятельности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сельскохозяйственной деятельности малого и среднего предпринимательства в форме возмещения части процентной ставки по кредитам КФХ и ЛПХ;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содействия субъектам малого и среднего предпринимательства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обеспечит: уровень годового оборота малых и средних предприятий в действующих ценах 27,3 млрд. рублей в 2025 году; достижение уровня доли занятых в малом и среднем бизнесе, включая ИП, в общей численности занятых к 2025 году - 31,1%.</w:t>
      </w:r>
    </w:p>
    <w:p w:rsidR="003A56E6" w:rsidRDefault="00901CD3">
      <w:pPr>
        <w:pStyle w:val="ConsPlusNormal"/>
        <w:spacing w:before="200"/>
        <w:ind w:firstLine="540"/>
        <w:jc w:val="both"/>
      </w:pPr>
      <w:hyperlink w:anchor="P1559">
        <w:r w:rsidR="003A56E6">
          <w:rPr>
            <w:color w:val="0000FF"/>
          </w:rPr>
          <w:t>Система</w:t>
        </w:r>
      </w:hyperlink>
      <w:r w:rsidR="003A56E6">
        <w:t xml:space="preserve"> основных мероприятий и показателей подпрограмм представлена в приложении N 1 к Программе. Сроки реализации подпрограмм совпадают со сроками реализации Программы в целом: 2014 - 2025 годы, I этап: 2014 - 2020 годы, II этап: 2021 - 2025 годы.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1"/>
      </w:pPr>
      <w:r>
        <w:t>5. Ресурсное обеспечение Программы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Программы на 2014 - 2025 годы, I этап: 2014 - 2020 годы, II этап: 2021 - 2025 годы представлены в таблицах 1 и 2.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2"/>
      </w:pPr>
      <w:r>
        <w:lastRenderedPageBreak/>
        <w:t>Объемы финансирования Программы по годам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144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204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1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04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85782,412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3597,112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361"/>
        <w:gridCol w:w="737"/>
        <w:gridCol w:w="680"/>
        <w:gridCol w:w="680"/>
        <w:gridCol w:w="737"/>
        <w:gridCol w:w="737"/>
      </w:tblGrid>
      <w:tr w:rsidR="003A56E6">
        <w:tc>
          <w:tcPr>
            <w:tcW w:w="41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36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571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41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36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177" w:right="-108"/>
              <w:jc w:val="center"/>
            </w:pPr>
            <w:r w:rsidRPr="008A690A">
              <w:t>6</w:t>
            </w:r>
            <w:r>
              <w:t>79</w:t>
            </w:r>
            <w:r w:rsidRPr="008A690A">
              <w:t>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143,7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>
              <w:t>140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>
              <w:rPr>
                <w:bCs/>
              </w:rPr>
              <w:t>140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140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right="-57"/>
              <w:jc w:val="center"/>
            </w:pPr>
            <w:r w:rsidRPr="008A690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rFonts w:eastAsia="Calibri"/>
              </w:rPr>
            </w:pPr>
            <w:r w:rsidRPr="008A690A">
              <w:rPr>
                <w:rFonts w:eastAsia="Calibri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25" w:right="-108"/>
              <w:jc w:val="center"/>
            </w:pPr>
            <w:r w:rsidRPr="008A690A">
              <w:t>6</w:t>
            </w:r>
            <w:r>
              <w:t>79</w:t>
            </w:r>
            <w:r w:rsidRPr="008A690A">
              <w:t>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143,7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</w:t>
            </w:r>
            <w: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1</w:t>
            </w:r>
            <w:r>
              <w:rPr>
                <w:bCs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snapToGrid w:val="0"/>
              </w:rPr>
            </w:pPr>
            <w:r w:rsidRPr="008A690A">
              <w:rPr>
                <w:snapToGrid w:val="0"/>
              </w:rPr>
              <w:t>1</w:t>
            </w:r>
            <w:r>
              <w:rPr>
                <w:snapToGrid w:val="0"/>
              </w:rPr>
              <w:t>40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25" w:right="-108"/>
              <w:jc w:val="center"/>
            </w:pPr>
            <w:r w:rsidRPr="008A690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4F673F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Программы, подпрограмм Программы за счет средств бюджета Губкинского городского округа Белгородской области по годам представлены соответственно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lastRenderedPageBreak/>
        <w:t>6. Анализ рисков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и описание мер управления рисками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Макроэкономические риски связаны с вероятностью кризисных явлений в российской экономике, снижения темпов инвестиционной активности, высокой инфляцией и колебаниями мировых цен на железорудное сырье и металлопродукцию, которые могут привести к снижению объемов финансирования программных мероприятий из средств бюджета городского округа. Возникновение данных рисков может привести к недофинансированию запланированных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Снижение данных рисков предусматривается в рамках мероприятий подпрограмм, направленных на формирование благоприятного предпринимательского климата и экономическое стимулирование малого и среднего бизнеса для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Возникновение данных рисков может привести к сокращению объемов и </w:t>
      </w:r>
      <w:proofErr w:type="gramStart"/>
      <w:r>
        <w:t>прекращению финансирования мероприятий Программы</w:t>
      </w:r>
      <w:proofErr w:type="gramEnd"/>
      <w:r>
        <w:t xml:space="preserve"> и невыполнению результатов муниципальной программы. Способами ограничения финансовых рисков выступают следующие меры: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ежегодное уточнение объемов финансовых средств на реализацию мероприятий Программы, в зависимости от достигнутых результатов;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определение приоритетов для первоочередного финансирования;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применение методик оценки эффективности бюджетных расходов.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Правовые риски связаны с изменениями законодательства, длительностью формирования правовой базы, необходимой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минимизации данных рисков в рамках реализации Программы планируется на этапе разработки проектов муниципальных правовых актов привлекать к их обсуждению основные заинтересованные стороны, а также вести мониторинг изменений в федеральном и региональном законодательстве.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4.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выявление потенциальных рисков путем мониторинга основных социально-экономических и финансовых показателей;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5.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эффективной системы управления реализацией Программы и ее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регулярная публикация в СМИ отчетов о ходе реализации Программы и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повышение эффективности взаимодействия участников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системы мониторинга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своевременная корректировка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Управление рисками будет осуществляться в соответствии с федеральным, региональным и местным законодательством.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4" w:name="P430"/>
      <w:bookmarkEnd w:id="4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общественного питания на территории Губкинского</w:t>
      </w:r>
    </w:p>
    <w:p w:rsidR="003A56E6" w:rsidRDefault="003A56E6">
      <w:pPr>
        <w:pStyle w:val="ConsPlusTitle"/>
        <w:jc w:val="center"/>
      </w:pPr>
      <w:r>
        <w:t>городского 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общественного питания на территории Губкинского городского округа Белгородской области" (далее - подпрограмма 1)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обслуживания населения Губкинского городского округа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сферы общественного питания в сельской местности, в том числе в отдаленных 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создание условий для развития общедоступной сети и предприятий общественного питания на туристических маршрутах;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предоставления услуг общественного питания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1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1 на 2014 - 2025 годы составляет 356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Объемы финансирования мероприятий подпрограммы 1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1.1. Объем товарооборота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1.2. Оборот общественного питания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>1.3. Количество посадочных мест в предприятиях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1.4. Обеспеченность населения посадочными местами в предприятиях общественного питания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оборота общественного питания до 653,7 млн.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оборота общественного питания на душу населения до 5,6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3. Количество посадочных мест в предприятиях общественного питания не менее 9600 ед.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Обеспечение населения посадочными местами в предприятиях общественного питания до 83 единицы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2010 - году 262,5 млн. рублей. 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Структура предприятий общественного питания в разрезе классификации типов предприятий общественного питания по состоянию на 1 января 2014 года представлена следующим образом: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рестораны - 7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бары - 6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кафе - 26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пиццерии - 2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(закрытая сеть) - 74 ед.; в том числе при промышленных предприятиях - 37 ед., школьные столовые - 37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(общедоступная сеть) - 4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закусочные - 28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буфеты - 13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кулинарии - 5 ед.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большое распространение получило открытие отделов по продаже полуфабрикатов и готовой продукции в предприятиях торговли (Гипермаркет "Линия"; ТЦ "Европа"; мясные лавки и т.д.).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городского округа,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слабо развит сегмент по оказанию услуг общественного питания в отдаленных и </w:t>
      </w:r>
      <w:r>
        <w:lastRenderedPageBreak/>
        <w:t>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Программное решение указанных проблем позволит обеспечить качественно новый, более социально ориентированный, облик потребительского рынка товаров и услуг городского округа, будет способствовать поддержанию высоких темпов развития отрасли, расширению предложения товаров и услуг,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Программа кадрового обеспечения предприятий общественного питания предполагает систему подготовки, переподготовки и повышения квалификации кадров по следующим направлениям: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управленческие кадры предприятий и организаций различных форм собственности, функционирующих на потребительском рынке (улучшение профессиональной подготовки руководителей и специалистов коммерческих организаций является одним из условий обеспечения социально-экономической стабильности и развития отрасли);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кадры массовых профессий (наличие профессиональных знаний у работников, непосредственно занятых обслуживанием в сфере общественного питания, обеспечит высокое качество услуг, предоставляемых потребителям).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предпочтение отдается грамотным и инициативным специалистам, имеющим среднее профессиональное образование. В Губкине подготовку кадров для предприятий потребительского рынка осуществляет ОГАПОУ "Губкинский горно-политехнический колледж", где обучаются студенты по профессиям: повар, кондитер, техник-технолог общественного питания, а также проводится повышение квалификации по специальностям: бармен, официант, буфетчик. Кроме того, регулярно проводится переподготовка специалистов среднего звена АНО ДПО "</w:t>
      </w:r>
      <w:proofErr w:type="spellStart"/>
      <w:r>
        <w:t>Старооскольский</w:t>
      </w:r>
      <w:proofErr w:type="spellEnd"/>
      <w:r>
        <w:t xml:space="preserve"> учебный центр повышения квалификации".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целях повышения уровня профессионализма, а также престижности рабочих специальностей на территории Губкинского городского округа Белгородской области необходимо продолжить проведение конкурсов на лучшее предприятие общественного питания, лучший по профессии, мастер своего дела и мастер-классы.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1 является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 Достижение главной цели связано с решением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Эта сфера в городском округе является составной частью экономики и призвана обеспечивать условия для полного и своевременного удовлетворения спроса населения на услуги питания, качество и безопасность их предоставления, доступность услуг на всей территории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недостаточный уровень развития инфраструктуры (недостаток общедоступных объектов питания, высокая стоимость аренды объектов недвижимости и земли, высокая стоимость проведения работ по обеспечению инженерными коммуникациями, недостаток предприятий общественного питания в отдаленных и малочисленных населенных пунктах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привлекательность для бизнеса развития общественного питания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1.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1 строится в соответствии со следующими принципами: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сферу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практики для создания условий развития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два раздела, каждый из которых представляет собой самостоятельный блок мероприятий, направленных на реализацию конкретного направления подпрограммы 1: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общественного питания,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общественного питания с целью повышения уровня профессионального мастерства).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1, обеспечит интенсивное развитие сферы общественного питания, повышение качества и безопасности услуг.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1 выражается в повышении качества жизни населения, увеличении количества предприятий общественного питания за счет привлечения средств фонда поддержки малого и среднего бизнеса, обеспеченности населения посадочными местами, совершенствовании системы подготовки и переподготовки кадров для сферы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1, позволит обеспечить качественно новый, цивилизованный облик сферы общественного питания, будет способствовать поддержанию высоких темпов его развития, созданию новых рабочих мест и инвестиционной привлекательности этого сектора. Целевые показатели могут быть скорректированы при изменении внешних факторов социально-экономического развития. Достижение прогнозируемых значений целевых показателей и показателей социально-экономической эффективности реализации подпрограммы 1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lastRenderedPageBreak/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1204"/>
        <w:gridCol w:w="737"/>
        <w:gridCol w:w="737"/>
        <w:gridCol w:w="737"/>
        <w:gridCol w:w="737"/>
        <w:gridCol w:w="737"/>
      </w:tblGrid>
      <w:tr w:rsidR="003A56E6">
        <w:tc>
          <w:tcPr>
            <w:tcW w:w="51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51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Общий объем финансирования подпрограммы 1 за 2014 - 2025 годы составит 356 тысяч рублей. Объемы и источники финансирования по годам реализации представлены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984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83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98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1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83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8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2268"/>
        <w:gridCol w:w="604"/>
        <w:gridCol w:w="604"/>
        <w:gridCol w:w="604"/>
        <w:gridCol w:w="604"/>
        <w:gridCol w:w="604"/>
      </w:tblGrid>
      <w:tr w:rsidR="003A56E6">
        <w:tc>
          <w:tcPr>
            <w:tcW w:w="374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6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весь период реализации подпрограммы 1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74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6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68" w:type="dxa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226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5" w:name="P722"/>
      <w:bookmarkEnd w:id="5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торговли на территории Губкинского городского</w:t>
      </w:r>
    </w:p>
    <w:p w:rsidR="003A56E6" w:rsidRDefault="003A56E6">
      <w:pPr>
        <w:pStyle w:val="ConsPlusTitle"/>
        <w:jc w:val="center"/>
      </w:pPr>
      <w:r>
        <w:t>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"Развитие торговли на территории Губкинского городского округа Белгородской области" (далее - подпрограмма 2)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 xml:space="preserve">Максимально полное удовлетворение потребностей населения городского округа в товарах за счет обеспечения эффективного </w:t>
            </w:r>
            <w:r>
              <w:lastRenderedPageBreak/>
              <w:t>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Обеспечение сбалансированного развития и размещения инфраструктуры оптовой и розничной торговли;</w:t>
            </w:r>
          </w:p>
          <w:p w:rsidR="003A56E6" w:rsidRDefault="003A56E6">
            <w:pPr>
              <w:pStyle w:val="ConsPlusNormal"/>
              <w:jc w:val="both"/>
            </w:pPr>
            <w:r>
              <w:t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      </w:r>
          </w:p>
          <w:p w:rsidR="003A56E6" w:rsidRDefault="003A56E6">
            <w:pPr>
              <w:pStyle w:val="ConsPlusNormal"/>
              <w:jc w:val="both"/>
            </w:pPr>
            <w:r>
              <w:t>продвижение на потребительский рынок городского округа товаров отечественного производства, в том числе областных производителей;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и субъектами, осуществляющими производство (поставки) товаров на территории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торговли в сельской местности, в том числе в отдаленных или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торгового сервиса для населения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торговой деятельности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2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2 на 2014 - 2025 годы составляет 346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- 20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2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2.1. Объем розничного товарооборота.</w:t>
            </w:r>
          </w:p>
          <w:p w:rsidR="003A56E6" w:rsidRDefault="003A56E6">
            <w:pPr>
              <w:pStyle w:val="ConsPlusNormal"/>
              <w:jc w:val="both"/>
            </w:pPr>
            <w:r>
              <w:t>2.2. Объем розничного товарооборота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>2.3. Торговая площадь.</w:t>
            </w:r>
          </w:p>
          <w:p w:rsidR="003A56E6" w:rsidRDefault="003A56E6">
            <w:pPr>
              <w:pStyle w:val="ConsPlusNormal"/>
              <w:jc w:val="both"/>
            </w:pPr>
            <w:r>
              <w:t>2.4. Обеспеченность торговыми площадями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розничного товарооборота до 32,9 млрд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розничного товарооборота на душу населения до 282,7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3. Торговая площадь в Губкинском городском округе Белгородской области достигнет значения 91,8 тыс. кв. м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Увеличение показателя обеспеченности населения торговыми площадями в предприятиях торговли до 788,6 кв. м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Обеспеченность торговыми площадями в расчете на 1000 жителей составила 603 кв. метров.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Белгородской области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розничного товарооборота в 2013 году составил 14,5 млрд. рублей, что в сопоставимых ценах на 3,9% выше показателя 2012 года. Оборот на душу населения составил 120 тыс.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розничная торговля претерпевает кардинальные изменения, которые связаны, прежде всего, с масштабным развитием розничных сетей, на долю которых в городском округе приходится около 20% торговых площадей.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Губкинского городского округа Белгородской области в эксплуатацию введены 42 магазина.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Общими принципами развития розничной торговой сети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крупных универсальных розничных предприятий, торговых центров и торговых комплексов;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функционирование системы "магазинов шаговой доступности", торгующих широким ассортиментом продовольственных и непродовольственных товаров;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 торговых комплексов в жилых массивах;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зон торгового обслуживания вдоль автомагистралей и туристических маршрутов.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подпрограммой 2, обеспечит проведение целенаправленной государственной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 по сравнению с традиционными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росте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торговли,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Программное решение указанных проблем позволит обеспечить качественно новый, более социально ориентированный облик потребительского рынка товаров округа, будет способствовать поддержанию высоких темпов развития отрасли, расширению предложения товаров,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Уровень развития торговли во многом определяется обеспеченностью квалифицированными кадрами.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 приходом на потребительский рынок округа крупных компаний, работающих по сетевому принципу, и открытием новых современных гипермаркетов, супермаркетов, универсальных магазинов, внедрением современных технологий с применением прогрессивных форм обслуживания, требуется подготовка специалистов соответствующего уровня. Профессионализм, высокая культура - залог успеха любого предприятия.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Повышение уровня конкурентоспособности предприятий в решающей степени определяется качеством имеющегося персонала: его квалификацией, потенциалом, степенью сплоченности и мотивацией к высокопроизводительному труду.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Признавая малый бизнес как часть общей экономики, следует признать, что сфера потребительского рынка может эффективно развиваться лишь при наличии подготовленных кадров. Объективная потребность в кадрах нового профессионального уровня стала очередной задачей для всех типов и уровней образовательных учреждений. На потребительском рынке труда удовлетворить потребность работодателя может работник, соответствующий следующим критериям: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хорошего профессионального уровня и способности работать по обозначенной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прочных знаний, умений и навыков по избранной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элементами общей культуры и умение применять их на практике;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знаниями основ психологии и умение работать с потребителями;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чувства адаптации к новым нестандартным условиям, принятие верных решений в сложных ситуациях.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2 является максимально полное удовлетворение потребностей населения Губкинского городского округа Белгородской области в товарах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 обуславливает решение основных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</w:t>
      </w:r>
      <w:r>
        <w:lastRenderedPageBreak/>
        <w:t>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недостаточный уровень развития инфраструктуры (недостаток предприятий торговли в сельской местности, высокая стоимость аренды объектов недвижимости и земли, высокая стоимость проведения работ по обеспечению инженерными коммуникациями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привлекательность для бизнеса развития торговли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2: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2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2 соответствует следующим принципам: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потребительский рынок;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лучшей практики создания условий для развития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2 раздела, каждый из которых представляет собой самостоятельный блок мероприятий, направленных на реализацию конкретного направления: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торговли,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торговли с целью повышения уровня профессионального мастерства).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 xml:space="preserve">Система программных мероприятий по реализации подпрограммы 2 приведена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2, обеспечит проведение целенаправленной муниципальной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форматы, по сравнению с традиционными,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роста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 Достижение прогнозируемых значений целевых показателей и показателей социально-экономической эффективности реализации подпрограммы 2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1/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120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408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 xml:space="preserve">Объем розничного товарооборота на </w:t>
            </w:r>
            <w:r>
              <w:lastRenderedPageBreak/>
              <w:t>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Общий объем финансирования подпрограммы 2 за 2014 - 2025 годы составит 346 тысяч рублей. Объемы и источники финансирования по годам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211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55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1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2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55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1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2438"/>
        <w:gridCol w:w="794"/>
        <w:gridCol w:w="737"/>
        <w:gridCol w:w="604"/>
        <w:gridCol w:w="794"/>
        <w:gridCol w:w="680"/>
      </w:tblGrid>
      <w:tr w:rsidR="003A56E6">
        <w:tc>
          <w:tcPr>
            <w:tcW w:w="300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43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II этап реализации подпрограммы 2</w:t>
            </w:r>
          </w:p>
        </w:tc>
        <w:tc>
          <w:tcPr>
            <w:tcW w:w="3609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00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43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005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005" w:type="dxa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6" w:name="P1027"/>
      <w:bookmarkEnd w:id="6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и поддержка малого и среднего предпринимательства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и поддержка малого и среднего предпринимательства в Губкинском городском округе Белгородской области" (далее - подпрограмма 3)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Соисполнитель муниципальной программы, ответственный за </w:t>
            </w:r>
            <w:r>
              <w:lastRenderedPageBreak/>
              <w:t>подпрограмму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Содействие участию в ремесленной и выставочно-ярмарочной деятельности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      </w:r>
          </w:p>
          <w:p w:rsidR="003A56E6" w:rsidRDefault="003A56E6">
            <w:pPr>
              <w:pStyle w:val="ConsPlusNormal"/>
              <w:jc w:val="both"/>
            </w:pPr>
            <w:r>
              <w:t>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      </w:r>
          </w:p>
          <w:p w:rsidR="003A56E6" w:rsidRDefault="003A56E6">
            <w:pPr>
              <w:pStyle w:val="ConsPlusNormal"/>
              <w:jc w:val="both"/>
            </w:pPr>
            <w:r>
              <w:t>4. Оказание содействия субъектам малого и среднего предпринимательства в участии в областном мероприятии "Программа "500/10000".</w:t>
            </w:r>
          </w:p>
          <w:p w:rsidR="003A56E6" w:rsidRDefault="003A56E6">
            <w:pPr>
              <w:pStyle w:val="ConsPlusNormal"/>
              <w:jc w:val="both"/>
            </w:pPr>
            <w:r>
              <w:t>5. Оказание содействия в обеспечении доступности инфраструктуры государственной поддержки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6. Повышение доступности финансовых ресурсов для субъектов малого и среднего предпринимательства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годы.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годы.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Общий объем ресурсного обеспечения подпрограммы на 2014 - 2025 годы - 85700,412 тыс. рублей, в том числе за счет средств федерального бюджета </w:t>
            </w:r>
            <w:hyperlink w:anchor="P1119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- 3515,112 тыс. рублей, средств иных источников - 14443,6 тыс. рублей,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- 19,512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- 462,2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- 1643,9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- 689,0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2022 год - </w:t>
            </w:r>
            <w:r w:rsidR="00EE7EF3">
              <w:t>87</w:t>
            </w:r>
            <w:r>
              <w:t>,</w:t>
            </w:r>
            <w:r w:rsidR="00EE7EF3">
              <w:t>7</w:t>
            </w:r>
            <w:r>
              <w:t xml:space="preserve">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2023 год - </w:t>
            </w:r>
            <w:r w:rsidR="00EE7EF3">
              <w:t>84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2024 год - </w:t>
            </w:r>
            <w:r w:rsidR="00EE7EF3">
              <w:t>84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2025 год - </w:t>
            </w:r>
            <w:r w:rsidR="00EE7EF3">
              <w:t>84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На реализацию мероприятий подпрограммы 3 кроме того предусмотрено в 2014 - 2025 годах предоставление муниципальной гарантии Губкинского городского округа Белгородской области в объеме 3 млн. рублей </w:t>
            </w:r>
            <w:hyperlink w:anchor="P1117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3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3.1. Оборот малых и средних предприятий в действующих ценах.</w:t>
            </w:r>
          </w:p>
          <w:p w:rsidR="003A56E6" w:rsidRDefault="003A56E6">
            <w:pPr>
              <w:pStyle w:val="ConsPlusNormal"/>
              <w:jc w:val="both"/>
            </w:pPr>
            <w:r>
              <w:t>3.2. Доля занятых в малом бизнесе, включая ИП, в общей численности занятых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подпрограммы 3 </w:t>
            </w:r>
            <w:hyperlink w:anchor="P1118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годового оборота малых и средних предприятий в действующих ценах по годам до 20,4 млрд. рублей в 2020 году, до 27,3 млрд. рублей в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Достижение уровня доли занятых в малом и среднем бизнесе, включая ИП, в общей численности занятых к 2020 году 27,5%, к 2025 году - 31,1%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7" w:name="P1117"/>
      <w:bookmarkEnd w:id="7"/>
      <w:r>
        <w:t>&lt;*&gt; решением Совета депутатов Губкинского городского округа Белгородской области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годом,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8" w:name="P1118"/>
      <w:bookmarkEnd w:id="8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9" w:name="P1119"/>
      <w:bookmarkEnd w:id="9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Одним из важнейших блоков Программы является стимулирование развития малого и </w:t>
      </w:r>
      <w:r>
        <w:lastRenderedPageBreak/>
        <w:t>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Целью подпрограммы 3 является обеспечение благоприятных условий для развития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 и комплексной поддержки субъектов малого и среднего предпринимательства в Губкинском городском округе Белгородской области для ускорения темпов их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3 предусматривается совершенствование инфраструктуры поддержки малого и среднего предпринимательства, а также повышение доступности финансовых ресурсов для субъектов малого и среднего предпринимательства; обеспечение информационной и консультационной поддержки, а также поддержки субъектов малого и среднего предпринимательства в области ремесленной и выставочно-ярмарочной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3 определяет совместные действия администрации Губкинского городского округа, организаций, образующих инфраструктуру поддержки субъектов малого и среднего предпринимательства, предпринимателей и их общественных объединений, направленные на устойчивое и динамичное развитие субъектов малого и среднего предпринимательства и повышение их роли в социально-экономических процессах на территории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1.1. Общая оценка ситуации на основе</w:t>
      </w:r>
    </w:p>
    <w:p w:rsidR="003A56E6" w:rsidRDefault="003A56E6">
      <w:pPr>
        <w:pStyle w:val="ConsPlusNormal"/>
        <w:jc w:val="center"/>
      </w:pPr>
      <w:r>
        <w:t>динамики главных показателей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Субъекты малого и среднего предпринимательства играют весьма важную роль в экономике, их развитие влияет на экономический рост, ускорение научно-технического прогресса,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рынка, создает дополнительные рабочие места. Предприниматели образуют основу среднего класса, выступающего гарантом политической и социальной стабильности общества; развитие малого и среднего предпринимательства способствует росту налоговых поступлений в бюджеты всех уровней. Во всех экономически развитых странах государство оказывает большую поддержку субъектам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развития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907"/>
        <w:gridCol w:w="850"/>
        <w:gridCol w:w="964"/>
        <w:gridCol w:w="964"/>
      </w:tblGrid>
      <w:tr w:rsidR="003A56E6">
        <w:tc>
          <w:tcPr>
            <w:tcW w:w="5386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Создано рабочих мест,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341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Оборот малых и средних предприятий, млн. руб.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10 153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9 430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9 978,9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9 999,5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Доля налоговых поступлений от малого предпринимательства в общей сумме налоговых доходов консолидированного бюджета муниципального образования,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9,26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</w:tr>
      <w:tr w:rsidR="003A56E6">
        <w:tc>
          <w:tcPr>
            <w:tcW w:w="5386" w:type="dxa"/>
          </w:tcPr>
          <w:p w:rsidR="003A56E6" w:rsidRDefault="003A56E6">
            <w:pPr>
              <w:pStyle w:val="ConsPlusNormal"/>
            </w:pPr>
            <w:r>
              <w:lastRenderedPageBreak/>
              <w:t>Среднесписочная численность работников (без внешних совместителей) по малым и средним предприятиям, тыс. чел.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8,76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8,42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Создание рабочих мест в малом и среднем бизнесе,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Доля муниципальных закупок у субъектов малого предпринимательства,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11,86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12,77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13,66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14,77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поддержки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850"/>
        <w:gridCol w:w="907"/>
        <w:gridCol w:w="850"/>
        <w:gridCol w:w="850"/>
        <w:gridCol w:w="844"/>
      </w:tblGrid>
      <w:tr w:rsidR="003A56E6">
        <w:tc>
          <w:tcPr>
            <w:tcW w:w="476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Показатели поддержки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2013 г.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Обратились за консультацией по вопросу ведения предпринимательской деятельности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Льготные займы в БОФПМСП: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4962,0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7260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5852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7670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Гранты начинающим предпринимателям: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2310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Субсидирование лизинговых договоров, ед.,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13000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1104,4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Выдано рекомендаций для обращения в БОФПМСП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Празднование Дня российского предпринимательства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Имущественная поддержка СМП в форме: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bottom w:val="nil"/>
            </w:tcBorders>
          </w:tcPr>
          <w:p w:rsidR="003A56E6" w:rsidRDefault="003A56E6">
            <w:pPr>
              <w:pStyle w:val="ConsPlusNormal"/>
            </w:pPr>
            <w:r>
              <w:t>- муниципальной преференции путем передачи в аренду без проведения торгов сроком на 5 лет муниципального имущества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top w:val="nil"/>
            </w:tcBorders>
          </w:tcPr>
          <w:p w:rsidR="003A56E6" w:rsidRDefault="003A56E6">
            <w:pPr>
              <w:pStyle w:val="ConsPlusNormal"/>
            </w:pPr>
            <w:r>
              <w:t>- арендная плата в год, тыс. руб.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531,99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701,3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реализации преимущественного права приобретения арендуемого имущества с рассрочкой на 4 года, единиц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lastRenderedPageBreak/>
              <w:t>- стоимость имущества,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2868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8377,2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2723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1803,7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Субсидии ЛПХ и КФХ в целях развития кредитных потребительских кооперативов, сельскохозяйственных потребительских кооперативов, крестьянских (фермерских) хозяйств и других малых форм хозяйствования на селе: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просубсидировано кредитов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на сумму субсидий,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1776,5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1520,7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2107,7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3672,2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1.2. Анализ причин возникновения проблемы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Проводимые в Губкинском городском округе Белгородской области мероприятия по поддержке малого и среднего предпринимательства способствуют стабилизации социально-экономической ситуации, улучшению условий ведения предпринимательской деятельности. Однако, несмотря на достигнутые за последние годы положительные результаты, в малом и среднем предпринимательстве имеются проблемы, препятствующие его развитию и требующие решения программными методами.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предпринимательства,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период 2014 - 2025 годов для поддержки и развития субъектов малого и среднего предпринимательства Губкинского городского округа Белгородской области актуально создание условий, обеспечивающих устойчивый рост количества субъектов малого и среднего предпринимательства, численности занятых в предпринимательстве, в первую очередь, за счет привлечения в эту сферу молодежи, незанятого сельского населения, молодых матерей. Необходимо стимулировать ускоренное развитие производственной и инновационной предпринимательской деятельности, достижение высоких конкурентных преимуществ выпускаемой продукции, совершенствовать механизмы финансовой поддержки и развитие внешнеэкономической деятельности предпринимателей. Дополнительного стимулирования требует развитие промышленной зоны Южные Коробки в городе Губкин, а также организация субъектами малого и среднего предпринимательства Губкинского городского округа Белгородской области частных детских садов и групп дневного времяпрепровождения детей дошкольного возраста.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Особого внимания и поддержки со стороны органов местного самоуправления потребуют муниципальные инвестиционные проекты, способствующие повышению уровня и качества жизни населения в таких сферах деятельности, как производственная, инновационная, природоохранная, переработка вторичного сырья, жилищно-коммунальное хозяйство, сельское хозяйство.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1.3. Связь с приоритетами социально-экономического развития</w:t>
      </w:r>
    </w:p>
    <w:p w:rsidR="003A56E6" w:rsidRDefault="003A56E6">
      <w:pPr>
        <w:pStyle w:val="ConsPlusNormal"/>
        <w:jc w:val="center"/>
      </w:pPr>
      <w:r>
        <w:t>Губкинского городского округа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Содержание и мероприятия подпрограммы 3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подпрограммы 3 соответствуют Стратегии социально-экономического развития Губкинского городского округа до 2025 года в части, касающейся развития малого и среднего предпринимательства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1.4. Обоснование необходимости решения</w:t>
      </w:r>
    </w:p>
    <w:p w:rsidR="003A56E6" w:rsidRDefault="003A56E6">
      <w:pPr>
        <w:pStyle w:val="ConsPlusNormal"/>
        <w:jc w:val="center"/>
      </w:pPr>
      <w:r>
        <w:t>проблемы программно-целевым методом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Подход к решению проблем, который предусмотрен подпрограммой 3, необходим для </w:t>
      </w:r>
      <w:r>
        <w:lastRenderedPageBreak/>
        <w:t>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учреждений, организаций инфраструктуры поддержки предпринимательства и бизнес-сообщества для решения задач ускоренного развития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период реализации подпрограммы 3 будет реализовываться комплекс мер, направленных на активизацию развития предпринимательства, а также совершенствование инфраструктуры поддержки малого и среднего предпринимательства. Будут организованы мероприятия по информационной подготовке и повышению квалификации действующих и потенциальных предпринимателей, проводиться совместная с бизнесом работа по повышению общественного статуса и значимости предпринимательства.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настоящей подпрограммы 3 является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 Данная цель соответствует полномочиям администрации Губкинского городского округа как органа местного самоуправления, входит в сферу ответственности управления экономики и ценовой политики (координатор подпрограммы 3). Данная цель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подпрограммы 3.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Базовыми положениями подпрограммы 3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предпринимательской инициативы граждан как одной из основ социально-экономических преобразований и развития местного самоуправления Губкинского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муниципальная поддержка малого и среднего предпринимательства, осуществляемая на основе соблюдения взаимовыгодного сотрудничества предпринимателей, органов государственной власти и местного самоуправления.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заявленной цели потребует решения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2.1. Содействие участию в ремесленной и выставочно-ярмарочной деятельности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2.4. Оказание содействия субъектам малого и среднего предпринимательства Губкинского городского округа Белгородской области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Участниками Программы "500/10000" являются субъекты малого и среднего предпринимательства, зарегистрированные в установленном законодательством Российской Федерации порядке на территории Белгородской области и реализующие инвестиционные проекты в сельской местности в период с 2017 по 2022 годы в сферах экономической деятельности, предусмотренных </w:t>
      </w:r>
      <w:hyperlink r:id="rId35">
        <w:r>
          <w:rPr>
            <w:color w:val="0000FF"/>
          </w:rPr>
          <w:t>разделами A</w:t>
        </w:r>
      </w:hyperlink>
      <w:r>
        <w:t xml:space="preserve">, </w:t>
      </w:r>
      <w:hyperlink r:id="rId36">
        <w:r>
          <w:rPr>
            <w:color w:val="0000FF"/>
          </w:rPr>
          <w:t>C</w:t>
        </w:r>
      </w:hyperlink>
      <w:r>
        <w:t xml:space="preserve">, </w:t>
      </w:r>
      <w:hyperlink r:id="rId37">
        <w:r>
          <w:rPr>
            <w:color w:val="0000FF"/>
          </w:rPr>
          <w:t>F</w:t>
        </w:r>
      </w:hyperlink>
      <w:r>
        <w:t xml:space="preserve">, </w:t>
      </w:r>
      <w:hyperlink r:id="rId38">
        <w:r>
          <w:rPr>
            <w:color w:val="0000FF"/>
          </w:rPr>
          <w:t>I</w:t>
        </w:r>
      </w:hyperlink>
      <w:r>
        <w:t xml:space="preserve">, </w:t>
      </w:r>
      <w:hyperlink r:id="rId39">
        <w:r>
          <w:rPr>
            <w:color w:val="0000FF"/>
          </w:rPr>
          <w:t>M</w:t>
        </w:r>
      </w:hyperlink>
      <w:r>
        <w:t xml:space="preserve">, </w:t>
      </w:r>
      <w:hyperlink r:id="rId40">
        <w:r>
          <w:rPr>
            <w:color w:val="0000FF"/>
          </w:rPr>
          <w:t>S</w:t>
        </w:r>
      </w:hyperlink>
      <w:r>
        <w:t xml:space="preserve"> Общероссийского классификатора видов экономической деятельности (ОК 029 - 2014 (КДЕС Ред. 2), утвержденного Приказом </w:t>
      </w:r>
      <w:proofErr w:type="spellStart"/>
      <w:r>
        <w:t>Росстандарта</w:t>
      </w:r>
      <w:proofErr w:type="spellEnd"/>
      <w:r>
        <w:t xml:space="preserve"> от 31 января 2014 года N 14-ст.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2.5. Оказание содействия в обеспечении доступности инфраструктуры государственной поддержки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Государственная поддержка малого и среднего предпринимательства и организаций, образующих инфраструктуру поддержки малого и среднего предпринимательства Белгородской </w:t>
      </w:r>
      <w:r>
        <w:lastRenderedPageBreak/>
        <w:t xml:space="preserve">области, осуществляется в соответствии с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Государственная поддержка физических лиц, не являющихся индивидуальными предпринимателями и применяющих специальный налоговый режим "Налог на профессиональный доход", предусмотренная статьями 17 - 21, 23, 25 настоящего Федерального закона, и поддержка, предоставляемая АО "Корпорация МОП" и ее дочерними обществами, осуществляется в порядке и на условиях, которые установлены частями 2 - 6 статьи 14 указанного Федерального закона.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Инфраструктурой поддержки субъектов малого и среднего предпринимательства Белгородской области является система коммерческих и некоммерческих организаций в соответствии со </w:t>
      </w:r>
      <w:hyperlink r:id="rId42">
        <w:r>
          <w:rPr>
            <w:color w:val="0000FF"/>
          </w:rPr>
          <w:t>статьей 15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Федерации", оказывающих субъектам малого и среднего предпринимательства следующие формы поддержки: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финансовую;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имущественную;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консультационную;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подготовки, переподготовки и повышения квалификации работников;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инноваций и промышленного производства, ремесленничества;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внешнеэкономическую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сельскохозяйственную деятельность.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2.6. Повышение доступности финансовых ресурсов для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Начиная с 2021 года субсидии в рамках реализации национального проекта "Малое и среднее предпринимательство и поддержка индивидуальной предпринимательской инициативы" предоставляются Белгородской области по направлениям, предусмотренным следующими федеральными (региональными) проектами: проектом 3.12 "Создание благоприятных условий для осуществления деятельности </w:t>
      </w:r>
      <w:proofErr w:type="spellStart"/>
      <w:r>
        <w:t>самозанятыми</w:t>
      </w:r>
      <w:proofErr w:type="spellEnd"/>
      <w:r>
        <w:t xml:space="preserve"> гражданами", проектом 3.14 "Создание условий для легкого старта и комфортного ведения бизнеса", проектом 3.15 "Акселерация субъектов малого и среднего предпринимательства", в том числе: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реализация проекта 3.12 "Создание благоприятных условий для осуществления деятельности </w:t>
      </w:r>
      <w:proofErr w:type="spellStart"/>
      <w:r>
        <w:t>самозанятыми</w:t>
      </w:r>
      <w:proofErr w:type="spellEnd"/>
      <w:r>
        <w:t xml:space="preserve"> гражданами".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будет обеспечено предоставление самозанятым гражданам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офлайн- и онлайн-форматах;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3.14 "Создание условий для легкого старта и комфортного ведения бизнеса".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субъектам малого и среднего предпринимательства, включенным в реестр социальных предпринимателей, будут оказаны комплексные услуги и (или) предоставлена финансовая поддержка в виде грантов. Гражданам, желающим вести бизнес, начинающим и действующим предпринимателям в рамках проекта будет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офлайн- и онлайн-форматах на единой площадке региональной инфраструктуры поддержке бизнеса - центр "Мой бизнес", а также в федеральных институтах развития;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3.15 "Акселерация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 xml:space="preserve">С 2021 года в рамках проекта продолжится оказание комплекса услуг, сервисов и мер поддержки субъектам малого и среднего предпринимательства в центре "Мой бизнес", созданном в 2019 году, обеспечение доступа субъектов малого и среднего предпринимательства к экспортной поддержке через автономную некоммерческую организацию "Центр координации поддержки </w:t>
      </w:r>
      <w:proofErr w:type="spellStart"/>
      <w:r>
        <w:t>экспортно</w:t>
      </w:r>
      <w:proofErr w:type="spellEnd"/>
      <w:r>
        <w:t xml:space="preserve"> ориентированных субъектов малого и среднего предпринимательства Белгородской области", также созданную в марте 2019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Кроме того, в рамках данного проекта субъектам малого и среднего предпринимательства будет обеспечено предоставление поручительств Белгородского гарантийного фонда содействия кредитованию.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Подпрограммой 3 определены приоритетные и перспективные для оказания муниципальной поддержки направления развития малого и среднего предпринимательства Губкинского городского округа Белгородской области: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производственная и инновационная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природоохранная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переработка вторичного сырья;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сельское хозяйство;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рыбоводство;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оптово-розничной торговли, общественного питания, сферы бытовых услуг населения и других направлений предпринимательской деятельности в сельских территориальных администрациях;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предпринимательской деятельности в сфере жилищно-коммунального хозяйства;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организация групп дневного времяпрепровождения детей дошкольного возраста и создание дошкольных образовательных центров;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 комплексов по оказанию социальных, бытовых, торговых услуг;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дворовых, детских и спортивных площадок;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малых форм хозяйствования на селе;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социальное предпринимательство;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деятельность в области народно-художественных промыслов, ремесленной деятельности, сельского и экологического туризма.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3: 2014 - 2025 годы, I этап: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2014 - 2020 годы, II этап: 2021 - 2025 годы.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Мероприятия подпрограммы 3, источники и объемы их финансирования подлежат ежегодному уточнению с учетом прогнозируемых объемов финансовых ресурсов.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3A56E6" w:rsidRDefault="003A56E6">
      <w:pPr>
        <w:pStyle w:val="ConsPlusTitle"/>
        <w:jc w:val="center"/>
      </w:pPr>
      <w:r>
        <w:t>и краткое описание основных мероприятий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>Достижение заявленной цели и решение поставленных задач подпрограммы 3 будет осуществляться путем реализации основных мероприятий: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 "Мероприятие по поддержке субъектов малого и среднего предпринимательства в области ремесленной и выставочно-ярмарочной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3.2. "Возмещение части процентной ставки по долгосрочным, среднесрочным и краткосрочным кредитам, взятым малыми формами хозяйствования".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Планируется реализация мероприятий по следующим направлениям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 области ремесленной и выставочно-ярмарочной деятельности: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3.1.1.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"круглых столов", конкурсах предпринимателей по различным номинациям".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3.1.2. "Проведение ежегодного городского конкурса "Губкинский предприниматель", приуроченного к празднованию Дня российского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3.1.3. "Информационно-образовательная подготовка жителей Губкинского городского округа Белгородской области к ведению предпринимательской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3.1.4.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3.1.5. "Организация мероприятий информационного характера в целях развития ТОСЭР "Губкин" и привлечения новых резидентов";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 области финансовой поддержки малого и среднего предпринимательства, а также совершенствования инфраструктуры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3.3.1.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3.3.2.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3.3.3.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3.3.4.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</w:r>
      <w:proofErr w:type="gramStart"/>
      <w:r>
        <w:t>развития</w:t>
      </w:r>
      <w:proofErr w:type="gramEnd"/>
      <w:r>
        <w:t xml:space="preserve">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3.3.5.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Система основных мероприятий и показателей подпрограммы 3 представлена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Также в целях развития малого и среднего предпринимательства Губкинского городского округа Белгородской области будут реализовываться и другие направления поддержки, не предусматривающие финансирования и не вошедшие в мероприятия подпрограммы 3: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нормативно-правовое обеспечение мероприятий по развитию и поддержке субъектов малого и среднего предпринимательства, в частности анализ эффективности муниципальных правовых актов органов местного самоуправления Губкинского городского округа в части, касающейся развития и поддержки субъектов малого и среднего предпринимательства, а также подготовка предложений о совершенствовании форм и методов поддержки субъектов малого и среднего предпринимательства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содействие финансово-кредитной и имущественной поддержке малого и среднего предпринимательства, направленное на проведение отбора инвестиционных проектов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сопровождение предпринимателей, организующих бизнес в сельских территориях Губкинского городского округа Белгородской области, в частности по вопросам: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а) аренды муниципальных инвестиционных площадок и земельных участков, находящихся в муниципальной собственности;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получения финансовой поддержки;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подключения к объектам инфраструктуры.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Кроме того, субъектам малого и среднего предпринимательства в рамках Программы "500/10000" предоставляются муниципальные преференции в виде предоставления земельных участков, находящихся в собственности Губкинского городского округа Белгородской области и государственная собственность на которые не разграничена, без торгов с размером арендной платы 0,01% от кадастровой стоимости земельного участка в год на период строительства;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субъектов малого и среднего предпринимательства в области инноваций и промышленного производства, что предусматривает стимулирование сотрудничества субъектов малого и среднего предпринимательства с научными организациями, организационную поддержку перспективных научных исследований и технологических разработок, популяризацию и поощрение положительных результатов деятельности инновационных предприятий, развитие промышленной зоны города Губкина (Южные Коробки);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информационная и консультационная поддержка субъектов малого и среднего предпринимательства, сокращение административных барьеров и защита прав предпринимателей, в том числе с помощью организации работы межведомственного координационного совета при главе администрации Губкинского городского округа по защите интересов субъектов малого и среднего предпринимательства, организации и проведения круглых столов с участием предпринимателей и их общественных объединений, проведения опросов субъектов малого бизнеса с целью определения его проблем и роли в социально-экономическом развитии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кадрового потенциала в сфере малого и среднего предпринимательства - посредством создания условий для повышения профессиональных знаний специалистов, относящихся к социально не защищенным группам населения, в области малого и среднего предпринимательства; оказания методической помощи субъектам малого и среднего предпринимательства по вопросам, связанным с защитой прав потребителей; организация консультационной деятельности по вопросам трудового законодательства;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повышение социальной ответственности бизнеса и развитие социального партнерства. Мероприятия направлены на совершенствование взаимодействия бизнеса и власти, повышение социальной ответственности малого и среднего предпринимательства и предусматривают оказание содействия развитию молодежного бизнеса; семейного бизнеса; малого бизнеса в сельских населенных пунктах городского округа; предпринимательской деятельности социально незащищенных категорий населения; ремесленной деятельности субъектов малого и среднего предпринимательства; туристического бизнеса. Предполагается оказывать содействие вовлечению работодателей - субъектов малого и среднего предпринимательства в переговорные процессы по заключению соглашений, коллективных договоров, созданию профсоюзных организаций с целью обеспечения социальных гарантий работающим, повышению ответственности работодателей за </w:t>
      </w:r>
      <w:r>
        <w:lastRenderedPageBreak/>
        <w:t>обеспечение работникам малых и средних предприятий необходимых условий охраны труда и социальных гарантий.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В результате реализации подпрограммы 3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увеличение годового оборота малых и средних предприятий,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- 12,27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- 12,83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- 17,28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- 18,13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- 19,02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- 19,78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- 20,40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- 21,40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- 22,80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- 24,30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- 25,70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- 27,30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достижение уровня доли занятых в малом и среднем бизнесе, включая ИП, в общей численности занятых к 2025 году 31,1%,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подпрограммы 3 будет способствовать повышению роли малого и среднего предпринимательства в экономических процессах городского округа, улучшению отраслевой структуры малого и среднего предпринимательства и диверсификации экономики за счет развития производственных и инновационных видов предпринимательской деятельности, росту занятости населения.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подпрограммы 3 на 2014 - 2025 годы, I этап: 2014 - 2020 годы, II этап: 2021 - 2025 годы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247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19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7095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85360,412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3175,112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928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814"/>
        <w:gridCol w:w="794"/>
        <w:gridCol w:w="794"/>
        <w:gridCol w:w="737"/>
        <w:gridCol w:w="680"/>
        <w:gridCol w:w="680"/>
      </w:tblGrid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5499" w:type="dxa"/>
            <w:gridSpan w:val="6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6D6FB9" w:rsidTr="00FA0DB8">
        <w:tc>
          <w:tcPr>
            <w:tcW w:w="3572" w:type="dxa"/>
            <w:vAlign w:val="bottom"/>
          </w:tcPr>
          <w:p w:rsidR="006D6FB9" w:rsidRDefault="006D6FB9" w:rsidP="006D6FB9">
            <w:pPr>
              <w:pStyle w:val="ConsPlusNormal"/>
            </w:pPr>
            <w:r>
              <w:t>Всего, в том числе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FB9" w:rsidRPr="005A1F24" w:rsidRDefault="006D6FB9" w:rsidP="006D6FB9">
            <w:pPr>
              <w:ind w:left="-25" w:right="-108"/>
              <w:jc w:val="center"/>
            </w:pPr>
            <w:r>
              <w:t>399,7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 w:rsidRPr="00711505">
              <w:rPr>
                <w:snapToGrid w:val="0"/>
              </w:rPr>
              <w:t>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87,7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</w:pPr>
            <w:r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84</w:t>
            </w:r>
          </w:p>
        </w:tc>
      </w:tr>
      <w:tr w:rsidR="006D6FB9" w:rsidTr="00FA0DB8">
        <w:tc>
          <w:tcPr>
            <w:tcW w:w="3572" w:type="dxa"/>
            <w:vAlign w:val="bottom"/>
          </w:tcPr>
          <w:p w:rsidR="006D6FB9" w:rsidRDefault="006D6FB9" w:rsidP="006D6FB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FB9" w:rsidRPr="005A1F24" w:rsidRDefault="006D6FB9" w:rsidP="006D6FB9">
            <w:pPr>
              <w:ind w:right="-57"/>
              <w:jc w:val="center"/>
            </w:pPr>
            <w: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ind w:right="-57"/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ind w:right="-57"/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ind w:right="-57"/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</w:tr>
      <w:tr w:rsidR="006D6FB9" w:rsidTr="00FA0DB8">
        <w:tc>
          <w:tcPr>
            <w:tcW w:w="3572" w:type="dxa"/>
          </w:tcPr>
          <w:p w:rsidR="006D6FB9" w:rsidRDefault="006D6FB9" w:rsidP="006D6FB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FB9" w:rsidRPr="005A1F24" w:rsidRDefault="006D6FB9" w:rsidP="006D6FB9">
            <w:pPr>
              <w:jc w:val="center"/>
            </w:pPr>
            <w: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</w:pPr>
            <w:r w:rsidRPr="00711505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 w:rsidRPr="00711505">
              <w:rPr>
                <w:snapToGrid w:val="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rFonts w:eastAsia="Calibri"/>
              </w:rPr>
            </w:pPr>
            <w:r w:rsidRPr="00711505">
              <w:rPr>
                <w:rFonts w:eastAsia="Calibri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rFonts w:eastAsia="Calibri"/>
              </w:rPr>
            </w:pPr>
            <w:r w:rsidRPr="00711505">
              <w:rPr>
                <w:rFonts w:eastAsia="Calibri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rFonts w:eastAsia="Calibri"/>
              </w:rPr>
            </w:pPr>
            <w:r w:rsidRPr="00711505">
              <w:rPr>
                <w:rFonts w:eastAsia="Calibri"/>
              </w:rPr>
              <w:t>0</w:t>
            </w:r>
          </w:p>
        </w:tc>
      </w:tr>
      <w:tr w:rsidR="006D6FB9" w:rsidTr="00FA0DB8">
        <w:tc>
          <w:tcPr>
            <w:tcW w:w="3572" w:type="dxa"/>
          </w:tcPr>
          <w:p w:rsidR="006D6FB9" w:rsidRDefault="006D6FB9" w:rsidP="006D6FB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FB9" w:rsidRPr="005A1F24" w:rsidRDefault="006D6FB9" w:rsidP="006D6FB9">
            <w:pPr>
              <w:ind w:left="-25" w:right="-108"/>
              <w:jc w:val="center"/>
            </w:pPr>
            <w:r>
              <w:t>399,7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 w:rsidRPr="00711505">
              <w:rPr>
                <w:snapToGrid w:val="0"/>
              </w:rPr>
              <w:t>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87,7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</w:pPr>
            <w:r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84</w:t>
            </w:r>
          </w:p>
        </w:tc>
      </w:tr>
      <w:tr w:rsidR="006D6FB9" w:rsidTr="00FA0DB8">
        <w:tc>
          <w:tcPr>
            <w:tcW w:w="3572" w:type="dxa"/>
          </w:tcPr>
          <w:p w:rsidR="006D6FB9" w:rsidRDefault="006D6FB9" w:rsidP="006D6FB9">
            <w:pPr>
              <w:pStyle w:val="ConsPlusNormal"/>
            </w:pPr>
            <w:r>
              <w:t>иные источники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FB9" w:rsidRPr="009E21F7" w:rsidRDefault="006D6FB9" w:rsidP="006D6FB9">
            <w:pPr>
              <w:ind w:left="-25" w:right="-108"/>
              <w:jc w:val="center"/>
            </w:pPr>
            <w:r w:rsidRPr="009E21F7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9E21F7" w:rsidRDefault="006D6FB9" w:rsidP="006D6FB9">
            <w:pPr>
              <w:jc w:val="center"/>
            </w:pPr>
            <w:r w:rsidRPr="009E21F7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01668A" w:rsidRDefault="006D6FB9" w:rsidP="006D6FB9">
            <w:pPr>
              <w:jc w:val="center"/>
            </w:pPr>
            <w:r w:rsidRPr="0001668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01668A" w:rsidRDefault="006D6FB9" w:rsidP="006D6FB9">
            <w:pPr>
              <w:jc w:val="center"/>
            </w:pPr>
            <w:r w:rsidRPr="0001668A"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01668A" w:rsidRDefault="006D6FB9" w:rsidP="006D6FB9">
            <w:pPr>
              <w:jc w:val="center"/>
              <w:rPr>
                <w:bCs/>
              </w:rPr>
            </w:pPr>
            <w:r w:rsidRPr="0001668A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01668A" w:rsidRDefault="006D6FB9" w:rsidP="006D6FB9">
            <w:pPr>
              <w:jc w:val="center"/>
              <w:rPr>
                <w:bCs/>
              </w:rPr>
            </w:pPr>
            <w:r w:rsidRPr="0001668A">
              <w:rPr>
                <w:bCs/>
              </w:rP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</w:t>
      </w:r>
      <w:r>
        <w:lastRenderedPageBreak/>
        <w:t xml:space="preserve">мероприятий подпрограммы 3 за счет средств бюджета Губкинского городского округа Белгородской области по годам представлены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901CD3" w:rsidRDefault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Подпрограмма 4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«Улучшение условий и охраны труда в Губкинском 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городском округе Белгородской области»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Паспорт подпрограммы 4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N п/п</w:t>
      </w:r>
      <w:r>
        <w:tab/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Наименование подпрограммы</w:t>
      </w:r>
      <w:proofErr w:type="gramStart"/>
      <w:r>
        <w:tab/>
        <w:t>«</w:t>
      </w:r>
      <w:proofErr w:type="gramEnd"/>
      <w:r>
        <w:t>Улучшение условий и охраны труда в Губкинском  городском округе Белгородской области»  (далее - подпрограмма 4)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1.</w:t>
      </w:r>
      <w:r>
        <w:tab/>
        <w:t>Соисполнитель муниципальной программы, ответственный за подпрограмму 4</w:t>
      </w:r>
      <w:r>
        <w:tab/>
        <w:t xml:space="preserve"> Администрация Губкинского городского округа в лице отдела по труду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2.</w:t>
      </w:r>
      <w:r>
        <w:tab/>
        <w:t>Участники подпрограммы 4</w:t>
      </w:r>
      <w:r>
        <w:tab/>
        <w:t xml:space="preserve"> Администрация Губкинского городского округа в лице отдела по труду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3.</w:t>
      </w:r>
      <w:r>
        <w:tab/>
        <w:t>Цель подпрограммы 4</w:t>
      </w:r>
      <w:r>
        <w:tab/>
        <w:t xml:space="preserve"> Снижение уровня </w:t>
      </w:r>
      <w:proofErr w:type="spellStart"/>
      <w:proofErr w:type="gramStart"/>
      <w:r>
        <w:t>производ-ственного</w:t>
      </w:r>
      <w:proofErr w:type="spellEnd"/>
      <w:proofErr w:type="gramEnd"/>
      <w:r>
        <w:t xml:space="preserve"> травматизма и профессиональной заболеваемости работников у работодателей, осуществляющих деятельность на территории Губкинского городского округа Белгородской области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4.</w:t>
      </w:r>
      <w:r>
        <w:tab/>
        <w:t>Задачи подпрограммы 4</w:t>
      </w:r>
      <w:r>
        <w:tab/>
        <w:t xml:space="preserve"> Осуществление органами местного самоуправления полномочий в области охраны труда согласно действующему законодательству.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5.</w:t>
      </w:r>
      <w:r>
        <w:tab/>
        <w:t>Сроки и этапы реализации подпрограммы 4</w:t>
      </w:r>
      <w:r>
        <w:tab/>
        <w:t>2024-2026 годы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6.</w:t>
      </w:r>
      <w:r>
        <w:tab/>
        <w:t>Объем бюджетных ассигнований подпрограммы 4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>
        <w:tab/>
        <w:t xml:space="preserve"> Общий объем ресурсного обеспечения подпрограммы 4                     в 2024-2026 годах за счет всех источников финансирования составит 13,0 тыс. рублей, в том числе по годам: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   2024 год – 4,2 тыс. рублей;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   2025 год – 4,3 тыс. рублей;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   2026 год – 4,5 тыс. рублей.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 Объем ресурсного обеспечения подпрограммы 4 за счет средств бюджета Губкинского городского округа Белгородской области составит 13,0 тыс. рублей, в том числе по годам: 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2024 год – 4,2 тыс. рублей;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2025 год – 4,3 тыс. рублей;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2026 год – 4,5 тыс. рублей.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  Ресурсное обеспечение подпрограммы 4 за счет иных источников не предусмотрено.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lastRenderedPageBreak/>
        <w:t xml:space="preserve">  Объемы финансирования мероприятий подпрограммы 4 ежегодно подлежат уточнению при формировании бюджета на очередной финансовый год и плановый период.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7.</w:t>
      </w:r>
      <w:r>
        <w:tab/>
        <w:t>Показатели конечных результатов реализации подпрограммы 4</w:t>
      </w:r>
      <w:r>
        <w:tab/>
        <w:t>1.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2. Численность пострадавших в результате несчастных случаев на производстве со смертельным исходом в расчете на 1 тысячу работающих.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8.</w:t>
      </w:r>
      <w:r>
        <w:tab/>
        <w:t>Конечные результаты реализации подпрограммы 4</w:t>
      </w:r>
      <w:r>
        <w:tab/>
        <w:t xml:space="preserve"> К концу 2026 года планируется: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1. Снижение численности пострадавших в результате несчастных случаев на производстве с утратой трудоспособности на                  1 рабочий день и более и со смертельным исходом в расчете                           на 1 тысячу работающих до 1,059 единиц.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2. Сокращение численности пострадавших в результате несчастных случаев на производстве со смертельным исходом в расчете на 1 тысячу работающих                                    до 0,118 единиц 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1. Характеристика сферы реализации подпрограммы 4, описание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основных проблем в указанной сфере и прогноз ее развития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Базовым принципом государственной политики Российской Федерации в области охраны труда является обеспечение приоритета сохранения жизни и здоровья работников в процессе трудовой деятельности.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В соответствии с пунктом 3 статьи 37 Конституции Российской Федерации каждый гражданин России имеет право на труд в условиях, отвечающих требованиям безопасности и гигиены.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Улучшение условий и охраны труда, сохранение здоровья работающего населения - чрезвычайно важная социально-экономическая задача.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Данные мониторинга численности пострадавших с утратой трудоспособности на один рабочий день и более на 1 тысячу работающих составил (коэффициент частоты травматизма):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-</w:t>
      </w:r>
      <w:r>
        <w:tab/>
        <w:t>в 2020 году – 1,059 (пострадавших);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-</w:t>
      </w:r>
      <w:r>
        <w:tab/>
        <w:t>в 2021 году – 1,134 (пострадавших);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-</w:t>
      </w:r>
      <w:r>
        <w:tab/>
        <w:t>в 2022 году – 1,179 (пострадавших);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-</w:t>
      </w:r>
      <w:r>
        <w:tab/>
        <w:t>в 2023 году (оценочно) – 1,109 (пострадавших).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В общей структуре причин несчастных случаев на производстве более               70 процентов вызваны типичными причинами организационного характера: нарушения требований безопасности,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</w:t>
      </w:r>
      <w:r>
        <w:lastRenderedPageBreak/>
        <w:t xml:space="preserve">физически устаревшего оборудования, не соответствующего требованиям безопасности. 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Анализ причин производственного травматизма свидетельствует о недостаточном внимании работодателей к реконструкции и модернизации производства, соблюдению сроков проведения ремонта и замены устаревшего оборудования. Наряду с техническими причинами несчастных случаев на производстве, устранение которых требует значительных инвестиционных и материально-технических затрат, около половины несчастных случаев связаны c организацией труда - это неудовлетворительное обеспечение безопасности производства работ и рабочих мест, допуск к работе работников, не прошедших обучение и проверку знаний требований охраны труда, нарушение трудовой и производственной дисциплины. Во многих случаях неудовлетворительная организация труда и производства является следствием отсутствия в организациях современных систем управления охраной труда.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Неудовлетворительное состояние условий труда, длительное воздействие вредных производственных факторов на организм работающих является основной причиной формирования у работников профессиональной патологии. В Губкинском городском округе Белгородской области согласно статистическим данным в 2019-2022 годах был зарегистрирован 81 случай.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 Профессиональная заболеваемость в 2019-2023 годах 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на территории Губкинского городского округа Белгородской области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ab/>
        <w:t>2019</w:t>
      </w:r>
      <w:r>
        <w:tab/>
        <w:t>2020</w:t>
      </w:r>
      <w:r>
        <w:tab/>
        <w:t>2021</w:t>
      </w:r>
      <w:r>
        <w:tab/>
        <w:t>2022</w:t>
      </w:r>
      <w:r>
        <w:tab/>
        <w:t>2023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(оценка)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Количество работников с профессиональными заболеваниями, чел.</w:t>
      </w:r>
      <w:r>
        <w:tab/>
        <w:t>19</w:t>
      </w:r>
      <w:r>
        <w:tab/>
        <w:t>11</w:t>
      </w:r>
      <w:r>
        <w:tab/>
        <w:t>28</w:t>
      </w:r>
      <w:r>
        <w:tab/>
        <w:t>26</w:t>
      </w:r>
      <w:r>
        <w:tab/>
        <w:t>27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Анализ профессиональной заболеваемости, зарегистрированной на территории Губкинского городского округа в 2019-2022 годах, показал, что профессиональные заболевания зафиксированы в 4 </w:t>
      </w:r>
      <w:proofErr w:type="gramStart"/>
      <w:r>
        <w:t xml:space="preserve">организациях:   </w:t>
      </w:r>
      <w:proofErr w:type="gramEnd"/>
      <w:r>
        <w:t xml:space="preserve">                           АО «Лебединский ГОК», АО «Комбинат </w:t>
      </w:r>
      <w:proofErr w:type="spellStart"/>
      <w:r>
        <w:t>КМАруда</w:t>
      </w:r>
      <w:proofErr w:type="spellEnd"/>
      <w:r>
        <w:t>», ООО «</w:t>
      </w:r>
      <w:proofErr w:type="spellStart"/>
      <w:r>
        <w:t>Рудстрой</w:t>
      </w:r>
      <w:proofErr w:type="spellEnd"/>
      <w:r>
        <w:t>»,              ООО «</w:t>
      </w:r>
      <w:proofErr w:type="spellStart"/>
      <w:r>
        <w:t>КМАрудоремонт</w:t>
      </w:r>
      <w:proofErr w:type="spellEnd"/>
      <w:r>
        <w:t>». Большинство профессиональных заболеваний зафиксировано в АО «Лебединский ГОК» - 61 (76% от общего количества</w:t>
      </w:r>
      <w:proofErr w:type="gramStart"/>
      <w:r>
        <w:t xml:space="preserve">),   </w:t>
      </w:r>
      <w:proofErr w:type="gramEnd"/>
      <w:r>
        <w:t xml:space="preserve">               в АО «Комбинат </w:t>
      </w:r>
      <w:proofErr w:type="spellStart"/>
      <w:r>
        <w:t>КМАруда</w:t>
      </w:r>
      <w:proofErr w:type="spellEnd"/>
      <w:r>
        <w:t>» - 18 случаев (22%), ООО «</w:t>
      </w:r>
      <w:proofErr w:type="spellStart"/>
      <w:r>
        <w:t>Рудстрой</w:t>
      </w:r>
      <w:proofErr w:type="spellEnd"/>
      <w:r>
        <w:t>» - 1 (1%),                    ООО «</w:t>
      </w:r>
      <w:proofErr w:type="spellStart"/>
      <w:r>
        <w:t>КМАрудоремонт</w:t>
      </w:r>
      <w:proofErr w:type="spellEnd"/>
      <w:r>
        <w:t>» - 1 (1%).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Сформированная областная система государственного управления охраной труда предоставила возможность министерству социальной защиты населения и труда </w:t>
      </w:r>
      <w:proofErr w:type="gramStart"/>
      <w:r>
        <w:t>Белгородской  области</w:t>
      </w:r>
      <w:proofErr w:type="gramEnd"/>
      <w:r>
        <w:t>, органам местного самоуправления муниципальных образований решать основные задачи по улучшению условий и повышению безопасности труда - обеспечению охраны труда на всех уровнях. В этой связи подпрограмма 4, являясь инструментом реализации государственной политики в области охраны труда на муниципальном уровне, позволяет планомерно проводить работу в области обеспечения охраны труда, предусматривать необходимые материальные и организационные ресурсы для реализации приоритетных мероприятий, направленных на достижение главной цели.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Реализация подпрограммы 4 организована путем выстраивания эффективных партнерских отношений с основными участниками системы управления охраной труда.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2. Цель, задачи, сроки и этапы реализации подпрограммы 4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lastRenderedPageBreak/>
        <w:t>Приоритетами государственной политики в сфере реализации подпрограммы 4 является улучшение условий и охраны труда работников организаций, расположенных на территории Губкинского городского округа Белгородской области.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Целью подпрограммы 4 является снижение уровня производственного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 Белгородской области.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Для достижения поставленной цели необходимо решение следующей задачи: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- осуществление органами местного самоуправления полномочий в области охраны труда согласно действующему законодательству. 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Реализация задачи осуществляется согласно закону Белгородской области от 28 июня 2010 года № 349 «О наделении органов местного самоуправления полномочиями в области охраны труда».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Срок реализации подпрограммы 4 - 2024-2026 годы.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3. Обоснование выделения системы мероприятий и краткое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описание основных мероприятий подпрограммы 4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Мероприятия подпрограммы 4 сформированы исходя из законодательных требований, опыта реализации полномочий в области охраны труда в Губкинском городском округе Белгородской области. При разработке мероприятий учитывался опыт других муниципальных образований Белгородской области по реализации аналогичных подпрограмм.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Особенностью подпрограммы 4 является организационно-методическая и координирующая направленность мероприятий. Это обусловлено спецификой государственного управления в области охраны труда.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Для решения задачи 4 «Осуществление органами местного самоуправления полномочий в области охраны труда согласно действующему законодательству» необходима реализация следующих основных мероприятий: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4.1. 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Данное мероприятие предусматривает: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- организацию и проведение Координационных советов по охране труда;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- организацию и проведение совещаний по вопросам улучшения условий и охраны труда.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4.2. Организация и проведение конкурсов по вопросам охраны труда среди работодателей Губкинского городского округа Белгородской области, Дня охраны труда.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Данное мероприятие предусматривает: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- организацию и проведение конкурсов по вопросам охраны труда среди работодателей Губкинского городского округа Белгородской области;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- организацию и проведение Дня охраны труда для работодателей Губкинского городского округа Белгородской области.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4.3. Информирование работодателей через средства массовой информации о состоянии условий и охраны труда на территории Губкинского городского округа Белгородской области, об изменениях в трудовом законодательстве.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Данное мероприятие предусматривает: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lastRenderedPageBreak/>
        <w:t>- размещение в средствах массовой информации, на официальном сайте органов местного самоуправления информации о состоянии охраны труда в Губкинском городском округе Белгородской области, об изменениях в трудовом законодательстве.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Муниципальной программой не предусмотрено финансирование основных мероприятий 4.1 и 4.3.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Система основных мероприятий подпрограммы 4 представлена в приложении 1 к муниципальной программе.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ab/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4. Прогноз конечных результатов подпрограммы 4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В результате реализации подпрограммы 4 к концу 2026 года планируется достижение следующих показателей конечного результата в сравнении: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-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 до 1,059 единиц.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Сведения о динамике показателей конечного результата подпрограммы 4 представлены в приложении 1 к муниципальной программе.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5. Ресурсное обеспечение подпрограммы 4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Общий объем финансирования подпрограммы 4 за 2024-2026 годы составит 13,0 тысяч рублей. Объемы и источники финансирования по годам реализации представлены в таблице 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Таблица 1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Реализация подпрограммы 4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 xml:space="preserve">                тыс. рублей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Источник финансирования</w:t>
      </w:r>
      <w:r>
        <w:tab/>
        <w:t>Финансовые затраты на весь период реализации подпрограммы 4</w:t>
      </w:r>
      <w:r>
        <w:tab/>
      </w:r>
      <w:proofErr w:type="gramStart"/>
      <w:r>
        <w:t>В</w:t>
      </w:r>
      <w:proofErr w:type="gramEnd"/>
      <w:r>
        <w:t xml:space="preserve"> том числе по годам реализации: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ab/>
      </w:r>
      <w:r>
        <w:tab/>
        <w:t>2024</w:t>
      </w:r>
      <w:r>
        <w:tab/>
        <w:t>2025</w:t>
      </w:r>
      <w:r>
        <w:tab/>
        <w:t>2026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Всего</w:t>
      </w:r>
      <w:r>
        <w:tab/>
        <w:t>13,0</w:t>
      </w:r>
      <w:r>
        <w:tab/>
        <w:t>4,2</w:t>
      </w:r>
      <w:r>
        <w:tab/>
        <w:t>4,3</w:t>
      </w:r>
      <w:r>
        <w:tab/>
        <w:t>4,5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  <w:r>
        <w:t>в том числе бюджет Губкинского городского округа Белгородской области</w:t>
      </w:r>
      <w:r>
        <w:tab/>
        <w:t>13,0</w:t>
      </w:r>
      <w:r>
        <w:tab/>
        <w:t>4,2</w:t>
      </w:r>
      <w:r>
        <w:tab/>
        <w:t>4,3</w:t>
      </w:r>
      <w:r>
        <w:tab/>
        <w:t>4,5</w:t>
      </w: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 w:rsidP="00901CD3">
      <w:pPr>
        <w:pStyle w:val="ConsPlusNormal"/>
        <w:spacing w:before="200"/>
        <w:ind w:firstLine="540"/>
        <w:jc w:val="both"/>
      </w:pPr>
    </w:p>
    <w:p w:rsidR="00901CD3" w:rsidRDefault="00901CD3">
      <w:pPr>
        <w:pStyle w:val="ConsPlusNormal"/>
        <w:spacing w:before="200"/>
        <w:ind w:firstLine="540"/>
        <w:jc w:val="both"/>
      </w:pPr>
      <w:bookmarkStart w:id="10" w:name="_GoBack"/>
      <w:bookmarkEnd w:id="10"/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1</w:t>
      </w:r>
    </w:p>
    <w:p w:rsidR="003A56E6" w:rsidRDefault="003A56E6">
      <w:pPr>
        <w:pStyle w:val="ConsPlusNormal"/>
        <w:jc w:val="right"/>
      </w:pPr>
      <w:r>
        <w:lastRenderedPageBreak/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1" w:name="P1559"/>
      <w:bookmarkEnd w:id="11"/>
      <w:r>
        <w:t>Система основных мероприятий (мероприятий) и показателей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 w:rsidSect="00F360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1129"/>
        <w:gridCol w:w="979"/>
        <w:gridCol w:w="664"/>
        <w:gridCol w:w="664"/>
        <w:gridCol w:w="664"/>
        <w:gridCol w:w="664"/>
        <w:gridCol w:w="664"/>
        <w:gridCol w:w="664"/>
        <w:gridCol w:w="72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6816" w:type="dxa"/>
            <w:gridSpan w:val="9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2012 год (базовый)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2013 год (оценка)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2020 год (итог)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</w:t>
            </w:r>
          </w:p>
          <w:p w:rsidR="003A56E6" w:rsidRDefault="003A56E6">
            <w:pPr>
              <w:pStyle w:val="ConsPlusNormal"/>
            </w:pPr>
            <w:r>
              <w:t>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 Объем товарооборота общественного питания, млн.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346,1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1.3. 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70,7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1.1.2. Количество предприятий, внедривших форму обслуживания </w:t>
            </w:r>
            <w:proofErr w:type="spellStart"/>
            <w:r>
              <w:t>кейтеринг</w:t>
            </w:r>
            <w:proofErr w:type="spellEnd"/>
            <w:r>
              <w:t xml:space="preserve">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14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рынка, бытовых услуг и защиты прав </w:t>
            </w:r>
            <w:r>
              <w:lastRenderedPageBreak/>
              <w:t>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2.1. Объем розничного товарооборота,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13,1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108,8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64,9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</w:t>
            </w:r>
            <w:proofErr w:type="gramStart"/>
            <w:r>
              <w:t>сложно-бытовой</w:t>
            </w:r>
            <w:proofErr w:type="gramEnd"/>
            <w:r>
              <w:t xml:space="preserve"> и компьютерной техники, продажа товаров в рассрочку, заказ товаров по каталогам), нарастающим итогом,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Подпрограмма 3 "Развитие и </w:t>
            </w:r>
            <w:r>
              <w:lastRenderedPageBreak/>
              <w:t>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3.1. Оборот малых и </w:t>
            </w:r>
            <w:r>
              <w:lastRenderedPageBreak/>
              <w:t>средних предприятий в действующих ценах,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9,99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11,14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17,28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18,13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19,02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19,78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3.1 "Мероприятие по поддержке субъектов малого и среднего предпринимательства в области ремесленной и выставочно-ярмарочной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3706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3282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2699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3.1.1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3.1.1.1. Количество субъектов малого и среднего предпринимательства, участвовавших в выставочно-ярмарочной деятельности, конференциях, форумах, заседаниях круглых столов, конкурсах предпринимателей по различным номинациям,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3.1.2 "Проведение </w:t>
            </w:r>
            <w:r>
              <w:lastRenderedPageBreak/>
              <w:t>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3.1.2.1. Количество </w:t>
            </w:r>
            <w:r>
              <w:lastRenderedPageBreak/>
              <w:t>организованных мероприятий по празднованию Дня российского предпринимательства,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"Губкин",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3.2 "Возмещение части процентной ставки по долгосрочным, 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3.2.1. Количество просубсидированных кредитов КФХ и ЛПХ,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8,98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8,17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3.3.2.1. Количество субъектов малого и среднего 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</w:t>
            </w:r>
            <w:r>
              <w:lastRenderedPageBreak/>
              <w:t>выплатами по передаче прав на франшизу (паушальный взнос),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3.3.3.1.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664"/>
        <w:gridCol w:w="664"/>
        <w:gridCol w:w="664"/>
        <w:gridCol w:w="664"/>
        <w:gridCol w:w="66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 год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Объем товарооборота общественного питания, млн.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1.3. Количество посадочных мест в предприятиях общественного питания, </w:t>
            </w:r>
            <w:r>
              <w:lastRenderedPageBreak/>
              <w:t>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1.1.2. Количество предприятий, внедривших форму обслуживания </w:t>
            </w:r>
            <w:proofErr w:type="spellStart"/>
            <w:r>
              <w:t>кейтеринг</w:t>
            </w:r>
            <w:proofErr w:type="spellEnd"/>
            <w:r>
              <w:t xml:space="preserve">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</w:t>
            </w:r>
            <w:r>
              <w:lastRenderedPageBreak/>
              <w:t>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2.1. Объем розничного товарооборота,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90.5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</w:t>
            </w:r>
            <w:proofErr w:type="gramStart"/>
            <w:r>
              <w:t>сложно-бытовой</w:t>
            </w:r>
            <w:proofErr w:type="gramEnd"/>
            <w:r>
              <w:t xml:space="preserve"> и компьютерной техники, продажа товаров в рассрочку, заказ товаров </w:t>
            </w:r>
            <w:r>
              <w:lastRenderedPageBreak/>
              <w:t>по каталогам), нарастающим итогом,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 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Оборот малых и средних предприятий в действующих ценах,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24.3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3.1 "Мероприятие по поддержке субъектов малого и среднего предпринимательства в области ремесленной и выставочно-ярмарочной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2585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2620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3.1.1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</w:t>
            </w:r>
            <w:r>
              <w:lastRenderedPageBreak/>
              <w:t>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3.1.1.1. Количество субъектов малого и среднего предпринимательства, участвовавших в выставочно-ярмарочной деятельности, конференциях, форумах, заседаниях круглых столов, конкурсах </w:t>
            </w:r>
            <w:r>
              <w:lastRenderedPageBreak/>
              <w:t>предпринимателей по различным номинациям,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3.1.2 "Проведение 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3.1.2.1. Количество организованных мероприятий по празднованию Дня российского предпринимательства,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Губкин",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3.2 "Возмещение части процентной ставки по долгосрочным, </w:t>
            </w:r>
            <w:r>
              <w:lastRenderedPageBreak/>
              <w:t>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</w:t>
            </w:r>
            <w:r>
              <w:lastRenderedPageBreak/>
              <w:t>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3.2.1. Количество просубсидированных кредитов КФХ и ЛПХ,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</w:t>
            </w:r>
            <w:r>
              <w:lastRenderedPageBreak/>
              <w:t>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управления экономики и </w:t>
            </w:r>
            <w:r>
              <w:lastRenderedPageBreak/>
              <w:t>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3.3.2.1. Количество субъектов малого и среднего предпринимательства, получателей субсидии на условиях долевого </w:t>
            </w:r>
            <w:r>
              <w:lastRenderedPageBreak/>
              <w:t>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</w:t>
            </w:r>
          </w:p>
          <w:p w:rsidR="003A56E6" w:rsidRDefault="003A56E6">
            <w:pPr>
              <w:pStyle w:val="ConsPlusNormal"/>
            </w:pPr>
            <w:r>
              <w:t>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3.3.3.2.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</w:t>
            </w:r>
            <w:r>
              <w:lastRenderedPageBreak/>
              <w:t>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2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2" w:name="P2330"/>
      <w:bookmarkEnd w:id="12"/>
      <w:r>
        <w:t>Основные меры правового регулирования в сфере реализации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984"/>
        <w:gridCol w:w="2324"/>
        <w:gridCol w:w="2494"/>
        <w:gridCol w:w="1774"/>
      </w:tblGrid>
      <w:tr w:rsidR="003A56E6">
        <w:tc>
          <w:tcPr>
            <w:tcW w:w="48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3A56E6">
        <w:tc>
          <w:tcPr>
            <w:tcW w:w="906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"Об утверждении положения о проведении конкурса профессионального мастерства"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 проведении конкурса на лучшее предприятие торговли"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3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r>
        <w:t>Ресурсное обеспечение и прогнозная (справочная) оценка</w:t>
      </w:r>
    </w:p>
    <w:p w:rsidR="003A56E6" w:rsidRDefault="003A56E6">
      <w:pPr>
        <w:pStyle w:val="ConsPlusTitle"/>
        <w:jc w:val="center"/>
      </w:pPr>
      <w:r>
        <w:t>расходов на реализацию основных мероприятий (мероприятий)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Title"/>
        <w:jc w:val="center"/>
      </w:pPr>
      <w:r>
        <w:t>из различных источников финансирования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2659"/>
        <w:gridCol w:w="1864"/>
        <w:gridCol w:w="1024"/>
        <w:gridCol w:w="784"/>
        <w:gridCol w:w="604"/>
        <w:gridCol w:w="724"/>
        <w:gridCol w:w="904"/>
        <w:gridCol w:w="904"/>
        <w:gridCol w:w="964"/>
      </w:tblGrid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6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590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6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1 1670,2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324,0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3074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4294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993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108,75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296,25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16923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8868,6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34676,7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15058,4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3340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1637,6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1146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6483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6157,4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27500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59"/>
        <w:gridCol w:w="2324"/>
        <w:gridCol w:w="604"/>
        <w:gridCol w:w="604"/>
        <w:gridCol w:w="604"/>
        <w:gridCol w:w="604"/>
        <w:gridCol w:w="604"/>
      </w:tblGrid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3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020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lastRenderedPageBreak/>
              <w:t xml:space="preserve">Мероприятия, направленные на </w:t>
            </w:r>
            <w:r>
              <w:lastRenderedPageBreak/>
              <w:t>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 xml:space="preserve">областной бюджет </w:t>
            </w:r>
            <w:r>
              <w:lastRenderedPageBreak/>
              <w:t>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  <w:vAlign w:val="bottom"/>
          </w:tcPr>
          <w:p w:rsidR="003A56E6" w:rsidRDefault="003A56E6">
            <w:pPr>
              <w:pStyle w:val="ConsPlusNormal"/>
            </w:pPr>
            <w:r>
              <w:t xml:space="preserve"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</w:t>
            </w:r>
            <w:r>
              <w:lastRenderedPageBreak/>
              <w:t>предпринимательской инициативы"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4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3" w:name="P3395"/>
      <w:bookmarkEnd w:id="13"/>
      <w:r>
        <w:t>Ресурсное обеспечение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"Развитие экономического потенциала и формирование</w:t>
      </w:r>
    </w:p>
    <w:p w:rsidR="003A56E6" w:rsidRDefault="003A56E6">
      <w:pPr>
        <w:pStyle w:val="ConsPlusTitle"/>
        <w:jc w:val="center"/>
      </w:pPr>
      <w:r>
        <w:t>благоприятного 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 за счет средств</w:t>
      </w:r>
    </w:p>
    <w:p w:rsidR="003A56E6" w:rsidRDefault="003A56E6">
      <w:pPr>
        <w:pStyle w:val="ConsPlusTitle"/>
        <w:jc w:val="center"/>
      </w:pPr>
      <w:r>
        <w:t>бюджета Губкинского городского округа Белгородской области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604"/>
        <w:gridCol w:w="1939"/>
        <w:gridCol w:w="694"/>
        <w:gridCol w:w="1339"/>
        <w:gridCol w:w="784"/>
        <w:gridCol w:w="664"/>
        <w:gridCol w:w="604"/>
        <w:gridCol w:w="784"/>
        <w:gridCol w:w="784"/>
        <w:gridCol w:w="784"/>
        <w:gridCol w:w="664"/>
      </w:tblGrid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06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lastRenderedPageBreak/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</w:t>
            </w:r>
            <w:r>
              <w:lastRenderedPageBreak/>
              <w:t>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Организация выставочно-ярмарочной деятельности субъектов малого и среднего предпринимательства, организация участия субъектов малого и </w:t>
            </w:r>
            <w:r>
              <w:lastRenderedPageBreak/>
              <w:t>среднего предпринимательства в конференциях, форумах, 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управления </w:t>
            </w:r>
            <w:r>
              <w:lastRenderedPageBreak/>
              <w:t>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13,05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18,95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</w:t>
            </w:r>
            <w:r>
              <w:lastRenderedPageBreak/>
              <w:t>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Возмещение части процентной </w:t>
            </w:r>
            <w:r>
              <w:lastRenderedPageBreak/>
              <w:t>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</w:t>
            </w:r>
            <w:r>
              <w:lastRenderedPageBreak/>
              <w:t>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23,648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92,64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76,352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83,54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33,64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201,38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3604"/>
        <w:gridCol w:w="1939"/>
        <w:gridCol w:w="694"/>
        <w:gridCol w:w="1339"/>
        <w:gridCol w:w="634"/>
        <w:gridCol w:w="634"/>
        <w:gridCol w:w="634"/>
        <w:gridCol w:w="634"/>
        <w:gridCol w:w="634"/>
      </w:tblGrid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17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рынка, бытовых </w:t>
            </w:r>
            <w:r>
              <w:lastRenderedPageBreak/>
              <w:t>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Мероприятия, направленные на </w:t>
            </w:r>
            <w:r>
              <w:lastRenderedPageBreak/>
              <w:t>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</w:t>
            </w:r>
            <w:r>
              <w:lastRenderedPageBreak/>
              <w:t>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16,8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Возмещение части процентной ставки по долгосрочным, среднесрочным и краткосрочным </w:t>
            </w:r>
            <w:r>
              <w:lastRenderedPageBreak/>
              <w:t>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</w:t>
            </w:r>
            <w:r>
              <w:lastRenderedPageBreak/>
              <w:t>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(возмещение) части затрат субъектов малого и среднего предпринимательства, осуществляющих деятельность в </w:t>
            </w:r>
            <w:r>
              <w:lastRenderedPageBreak/>
              <w:t>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</w:t>
            </w:r>
            <w:r>
              <w:lastRenderedPageBreak/>
              <w:t>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5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right"/>
      </w:pPr>
    </w:p>
    <w:p w:rsidR="003A56E6" w:rsidRDefault="003A56E6">
      <w:pPr>
        <w:pStyle w:val="ConsPlusTitle"/>
        <w:jc w:val="center"/>
      </w:pPr>
      <w:r>
        <w:t>Сведения</w:t>
      </w:r>
    </w:p>
    <w:p w:rsidR="003A56E6" w:rsidRDefault="003A56E6">
      <w:pPr>
        <w:pStyle w:val="ConsPlusTitle"/>
        <w:jc w:val="center"/>
      </w:pPr>
      <w:r>
        <w:t>о методике расчета показателей конечного результата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1204"/>
        <w:gridCol w:w="6633"/>
        <w:gridCol w:w="1639"/>
        <w:gridCol w:w="1714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3A56E6">
        <w:tc>
          <w:tcPr>
            <w:tcW w:w="13572" w:type="dxa"/>
            <w:gridSpan w:val="6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proofErr w:type="spellStart"/>
            <w:r>
              <w:t>Кпм</w:t>
            </w:r>
            <w:proofErr w:type="spellEnd"/>
            <w:r>
              <w:t xml:space="preserve"> = Кпм1 + Кпм2 + Кпм3 + </w:t>
            </w:r>
            <w:proofErr w:type="spellStart"/>
            <w:r>
              <w:t>Кпмп</w:t>
            </w:r>
            <w:proofErr w:type="spellEnd"/>
          </w:p>
          <w:p w:rsidR="003A56E6" w:rsidRDefault="003A56E6">
            <w:pPr>
              <w:pStyle w:val="ConsPlusNormal"/>
              <w:jc w:val="center"/>
            </w:pPr>
            <w:r>
              <w:t>Данные предыдущего года о количестве посадочных мест в предприятиях общественного питания корректируются на количество мест во вновь открытых и закрытых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proofErr w:type="spellStart"/>
            <w:r>
              <w:t>Отп</w:t>
            </w:r>
            <w:proofErr w:type="spellEnd"/>
            <w:r>
              <w:t xml:space="preserve"> = </w:t>
            </w:r>
            <w:proofErr w:type="spellStart"/>
            <w:r>
              <w:t>Sтп</w:t>
            </w:r>
            <w:proofErr w:type="spellEnd"/>
            <w:r>
              <w:t xml:space="preserve"> / </w:t>
            </w:r>
            <w:proofErr w:type="spellStart"/>
            <w:r>
              <w:t>Чнас</w:t>
            </w:r>
            <w:proofErr w:type="spellEnd"/>
            <w:r>
              <w:t xml:space="preserve"> * 1000, где: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Отп</w:t>
            </w:r>
            <w:proofErr w:type="spellEnd"/>
            <w:r>
              <w:t xml:space="preserve"> - обеспеченность торговыми площадями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Sтп</w:t>
            </w:r>
            <w:proofErr w:type="spellEnd"/>
            <w:r>
              <w:t xml:space="preserve"> - площадь всех торговых площадей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Чнас</w:t>
            </w:r>
            <w:proofErr w:type="spellEnd"/>
            <w:r>
              <w:t xml:space="preserve"> - численность населения городского округа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Доля занятых в малом и среднем бизнесе, включая ИП, в общей численности занятых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proofErr w:type="spellStart"/>
            <w:r>
              <w:t>Дз</w:t>
            </w:r>
            <w:proofErr w:type="spellEnd"/>
            <w:r>
              <w:t xml:space="preserve"> = (</w:t>
            </w:r>
            <w:proofErr w:type="spellStart"/>
            <w:r>
              <w:t>Чмп</w:t>
            </w:r>
            <w:proofErr w:type="spellEnd"/>
            <w:r>
              <w:t xml:space="preserve"> + Чип + </w:t>
            </w:r>
            <w:proofErr w:type="spellStart"/>
            <w:r>
              <w:t>Чн</w:t>
            </w:r>
            <w:proofErr w:type="spellEnd"/>
            <w:r>
              <w:t>) / (</w:t>
            </w:r>
            <w:proofErr w:type="spellStart"/>
            <w:r>
              <w:t>Чмп</w:t>
            </w:r>
            <w:proofErr w:type="spellEnd"/>
            <w:r>
              <w:t xml:space="preserve"> + Чип + </w:t>
            </w:r>
            <w:proofErr w:type="spellStart"/>
            <w:r>
              <w:t>Чн</w:t>
            </w:r>
            <w:proofErr w:type="spellEnd"/>
            <w:r>
              <w:t xml:space="preserve"> + </w:t>
            </w:r>
            <w:proofErr w:type="spellStart"/>
            <w:r>
              <w:t>Чср</w:t>
            </w:r>
            <w:proofErr w:type="spellEnd"/>
            <w:r>
              <w:t xml:space="preserve"> + </w:t>
            </w:r>
            <w:proofErr w:type="spellStart"/>
            <w:r>
              <w:t>Чкр</w:t>
            </w:r>
            <w:proofErr w:type="spellEnd"/>
            <w:r>
              <w:t>) * 100, где: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Дз</w:t>
            </w:r>
            <w:proofErr w:type="spellEnd"/>
            <w:r>
              <w:t xml:space="preserve"> - доля занятых в малом и среднем бизнесе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Чмп</w:t>
            </w:r>
            <w:proofErr w:type="spellEnd"/>
            <w:r>
              <w:t xml:space="preserve"> - численность работающих в малых предприятиях,</w:t>
            </w:r>
          </w:p>
          <w:p w:rsidR="003A56E6" w:rsidRDefault="003A56E6">
            <w:pPr>
              <w:pStyle w:val="ConsPlusNormal"/>
              <w:jc w:val="center"/>
            </w:pPr>
            <w:r>
              <w:t>Чип - численность работающих в ИП,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Чн</w:t>
            </w:r>
            <w:proofErr w:type="spellEnd"/>
            <w:r>
              <w:t xml:space="preserve"> - численность работающих у ИП по найму,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Чср</w:t>
            </w:r>
            <w:proofErr w:type="spellEnd"/>
            <w:r>
              <w:t xml:space="preserve"> - численность работающих в средних предприятиях,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Чкр</w:t>
            </w:r>
            <w:proofErr w:type="spellEnd"/>
            <w:r>
              <w:t xml:space="preserve"> - численность работающих на крупных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</w:tbl>
    <w:p w:rsidR="003A56E6" w:rsidRDefault="003A56E6">
      <w:pPr>
        <w:pStyle w:val="ConsPlusNormal"/>
        <w:jc w:val="center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1D25" w:rsidRDefault="00D81D25"/>
    <w:sectPr w:rsidR="00D81D2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E6"/>
    <w:rsid w:val="0011313F"/>
    <w:rsid w:val="002C0391"/>
    <w:rsid w:val="003A56E6"/>
    <w:rsid w:val="00471D4B"/>
    <w:rsid w:val="006D6FB9"/>
    <w:rsid w:val="00901CD3"/>
    <w:rsid w:val="00A07674"/>
    <w:rsid w:val="00AD7095"/>
    <w:rsid w:val="00C44003"/>
    <w:rsid w:val="00D81D25"/>
    <w:rsid w:val="00DA08E7"/>
    <w:rsid w:val="00DA7B86"/>
    <w:rsid w:val="00ED4A87"/>
    <w:rsid w:val="00ED4C3B"/>
    <w:rsid w:val="00EE7EF3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79C3F-4A1C-455F-A00B-A9FFD337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691586363B407F601434A5150065D019A3AAD87A7FD1C2E20DFD6A9058F4037E70D7A66ACDAB85061F70B75776A5ECD9ADCEFC0B33EA03D7514DW4k2N" TargetMode="External"/><Relationship Id="rId13" Type="http://schemas.openxmlformats.org/officeDocument/2006/relationships/hyperlink" Target="consultantplus://offline/ref=10691586363B407F601434A5150065D019A3AAD87978D3CBE10DFD6A9058F4037E70D7A66ACDAB85061F70B75776A5ECD9ADCEFC0B33EA03D7514DW4k2N" TargetMode="External"/><Relationship Id="rId18" Type="http://schemas.openxmlformats.org/officeDocument/2006/relationships/hyperlink" Target="consultantplus://offline/ref=10691586363B407F601434A5150065D019A3AAD8777FDFC3E40DFD6A9058F4037E70D7A66ACDAB85061F70B75776A5ECD9ADCEFC0B33EA03D7514DW4k2N" TargetMode="External"/><Relationship Id="rId26" Type="http://schemas.openxmlformats.org/officeDocument/2006/relationships/hyperlink" Target="consultantplus://offline/ref=10691586363B407F601434A5150065D019A3AAD87978D3CBE10DFD6A9058F4037E70D7A66ACDAB85061F70B55776A5ECD9ADCEFC0B33EA03D7514DW4k2N" TargetMode="External"/><Relationship Id="rId39" Type="http://schemas.openxmlformats.org/officeDocument/2006/relationships/hyperlink" Target="consultantplus://offline/ref=10691586363B407F60142AA8036C3FDD19AAF0D27C7BDD9CBE52A637C751FE54393F8EE42EC4AD8C041424E31877F9A88EBECEF70B31E31FWDk7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0691586363B407F60142AA8036C3FDD19AAF6D47E7DDD9CBE52A637C751FE542B3FD6E82EC2B4850F0172B25EW2k0N" TargetMode="External"/><Relationship Id="rId34" Type="http://schemas.openxmlformats.org/officeDocument/2006/relationships/hyperlink" Target="consultantplus://offline/ref=10691586363B407F601434A5150065D019A3AAD87C78D5CBE70DFD6A9058F4037E70D7B46A95A785040170BB4220F4AAW8kEN" TargetMode="External"/><Relationship Id="rId42" Type="http://schemas.openxmlformats.org/officeDocument/2006/relationships/hyperlink" Target="consultantplus://offline/ref=10691586363B407F60142AA8036C3FDD19AAF4D17779DD9CBE52A637C751FE54393F8EE42EC0AB80061424E31877F9A88EBECEF70B31E31FWDk7N" TargetMode="External"/><Relationship Id="rId7" Type="http://schemas.openxmlformats.org/officeDocument/2006/relationships/hyperlink" Target="consultantplus://offline/ref=10691586363B407F601434A5150065D019A3AAD87B7CDFC8E60DFD6A9058F4037E70D7A66ACDAB85061F70B75776A5ECD9ADCEFC0B33EA03D7514DW4k2N" TargetMode="External"/><Relationship Id="rId12" Type="http://schemas.openxmlformats.org/officeDocument/2006/relationships/hyperlink" Target="consultantplus://offline/ref=10691586363B407F601434A5150065D019A3AAD8797BD5C2E70DFD6A9058F4037E70D7A66ACDAB85061F70B75776A5ECD9ADCEFC0B33EA03D7514DW4k2N" TargetMode="External"/><Relationship Id="rId17" Type="http://schemas.openxmlformats.org/officeDocument/2006/relationships/hyperlink" Target="consultantplus://offline/ref=10691586363B407F601434A5150065D019A3AAD87876DFCDE50DFD6A9058F4037E70D7A66ACDAB85061F70B75776A5ECD9ADCEFC0B33EA03D7514DW4k2N" TargetMode="External"/><Relationship Id="rId25" Type="http://schemas.openxmlformats.org/officeDocument/2006/relationships/hyperlink" Target="consultantplus://offline/ref=10691586363B407F601434A5150065D019A3AAD87876DFCDE50DFD6A9058F4037E70D7A66ACDAB85061F70B55776A5ECD9ADCEFC0B33EA03D7514DW4k2N" TargetMode="External"/><Relationship Id="rId33" Type="http://schemas.openxmlformats.org/officeDocument/2006/relationships/hyperlink" Target="consultantplus://offline/ref=10691586363B407F601434A5150065D019A3AAD87C78D5CBE70DFD6A9058F4037E70D7B46A95A785040170BB4220F4AAW8kEN" TargetMode="External"/><Relationship Id="rId38" Type="http://schemas.openxmlformats.org/officeDocument/2006/relationships/hyperlink" Target="consultantplus://offline/ref=10691586363B407F60142AA8036C3FDD19AAF0D27C7BDD9CBE52A637C751FE54393F8EE42EC4A985021424E31877F9A88EBECEF70B31E31FWDk7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0691586363B407F601434A5150065D019A3AAD87878D0CCE10DFD6A9058F4037E70D7A66ACDAB85061F70B75776A5ECD9ADCEFC0B33EA03D7514DW4k2N" TargetMode="External"/><Relationship Id="rId20" Type="http://schemas.openxmlformats.org/officeDocument/2006/relationships/hyperlink" Target="consultantplus://offline/ref=10691586363B407F601434A5150065D019A3AAD8777BD1CEE40DFD6A9058F4037E70D7A66ACDAB85061F70B75776A5ECD9ADCEFC0B33EA03D7514DW4k2N" TargetMode="External"/><Relationship Id="rId29" Type="http://schemas.openxmlformats.org/officeDocument/2006/relationships/hyperlink" Target="consultantplus://offline/ref=10691586363B407F601434A5150065D019A3AAD87C7DD1CDE00DFD6A9058F4037E70D7B46A95A785040170BB4220F4AAW8kEN" TargetMode="External"/><Relationship Id="rId41" Type="http://schemas.openxmlformats.org/officeDocument/2006/relationships/hyperlink" Target="consultantplus://offline/ref=10691586363B407F60142AA8036C3FDD19AAF4D17779DD9CBE52A637C751FE542B3FD6E82EC2B4850F0172B25EW2k0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691586363B407F601434A5150065D019A3AAD87B7FD3CAEB0DFD6A9058F4037E70D7A66ACDAB85061F70B75776A5ECD9ADCEFC0B33EA03D7514DW4k2N" TargetMode="External"/><Relationship Id="rId11" Type="http://schemas.openxmlformats.org/officeDocument/2006/relationships/hyperlink" Target="consultantplus://offline/ref=10691586363B407F601434A5150065D019A3AAD8797DD3C2E50DFD6A9058F4037E70D7A66ACDAB85061F70B75776A5ECD9ADCEFC0B33EA03D7514DW4k2N" TargetMode="External"/><Relationship Id="rId24" Type="http://schemas.openxmlformats.org/officeDocument/2006/relationships/hyperlink" Target="consultantplus://offline/ref=10691586363B407F601434A5150065D019A3AAD87876D0CEE00DFD6A9058F4037E70D7B46A95A785040170BB4220F4AAW8kEN" TargetMode="External"/><Relationship Id="rId32" Type="http://schemas.openxmlformats.org/officeDocument/2006/relationships/hyperlink" Target="consultantplus://offline/ref=10691586363B407F601434A5150065D019A3AAD8777BD1CEE40DFD6A9058F4037E70D7A66ACDAB85061F70B45776A5ECD9ADCEFC0B33EA03D7514DW4k2N" TargetMode="External"/><Relationship Id="rId37" Type="http://schemas.openxmlformats.org/officeDocument/2006/relationships/hyperlink" Target="consultantplus://offline/ref=10691586363B407F60142AA8036C3FDD19AAF0D27C7BDD9CBE52A637C751FE54393F8EE42EC6AA870E1424E31877F9A88EBECEF70B31E31FWDk7N" TargetMode="External"/><Relationship Id="rId40" Type="http://schemas.openxmlformats.org/officeDocument/2006/relationships/hyperlink" Target="consultantplus://offline/ref=10691586363B407F60142AA8036C3FDD19AAF0D27C7BDD9CBE52A637C751FE54393F8EE42EC5AF86041424E31877F9A88EBECEF70B31E31FWDk7N" TargetMode="External"/><Relationship Id="rId5" Type="http://schemas.openxmlformats.org/officeDocument/2006/relationships/hyperlink" Target="consultantplus://offline/ref=10691586363B407F601434A5150065D019A3AAD87C76D4C3E70DFD6A9058F4037E70D7A66ACDAB85061F70B75776A5ECD9ADCEFC0B33EA03D7514DW4k2N" TargetMode="External"/><Relationship Id="rId15" Type="http://schemas.openxmlformats.org/officeDocument/2006/relationships/hyperlink" Target="consultantplus://offline/ref=10691586363B407F601434A5150065D019A3AAD8787CD7C9E40DFD6A9058F4037E70D7A66ACDAB85061F70B75776A5ECD9ADCEFC0B33EA03D7514DW4k2N" TargetMode="External"/><Relationship Id="rId23" Type="http://schemas.openxmlformats.org/officeDocument/2006/relationships/hyperlink" Target="consultantplus://offline/ref=10691586363B407F601434A5150065D019A3AAD8777DD3CBEB0DFD6A9058F4037E70D7B46A95A785040170BB4220F4AAW8kEN" TargetMode="External"/><Relationship Id="rId28" Type="http://schemas.openxmlformats.org/officeDocument/2006/relationships/hyperlink" Target="consultantplus://offline/ref=10691586363B407F601434A5150065D019A3AAD87876DFCDE50DFD6A9058F4037E70D7A66ACDAB85061F70BB5776A5ECD9ADCEFC0B33EA03D7514DW4k2N" TargetMode="External"/><Relationship Id="rId36" Type="http://schemas.openxmlformats.org/officeDocument/2006/relationships/hyperlink" Target="consultantplus://offline/ref=10691586363B407F60142AA8036C3FDD19AAF0D27C7BDD9CBE52A637C751FE54393F8EE42EC0AD84071424E31877F9A88EBECEF70B31E31FWDk7N" TargetMode="External"/><Relationship Id="rId10" Type="http://schemas.openxmlformats.org/officeDocument/2006/relationships/hyperlink" Target="consultantplus://offline/ref=10691586363B407F601434A5150065D019A3AAD8797EDEC8E60DFD6A9058F4037E70D7A66ACDAB85061F70B75776A5ECD9ADCEFC0B33EA03D7514DW4k2N" TargetMode="External"/><Relationship Id="rId19" Type="http://schemas.openxmlformats.org/officeDocument/2006/relationships/hyperlink" Target="consultantplus://offline/ref=10691586363B407F601434A5150065D019A3AAD8777DD3CFE40DFD6A9058F4037E70D7A66ACDAB85061F70B75776A5ECD9ADCEFC0B33EA03D7514DW4k2N" TargetMode="External"/><Relationship Id="rId31" Type="http://schemas.openxmlformats.org/officeDocument/2006/relationships/hyperlink" Target="consultantplus://offline/ref=10691586363B407F601434A5150065D019A3AAD87876DFCDE50DFD6A9058F4037E70D7A66ACDAB85061F71B25776A5ECD9ADCEFC0B33EA03D7514DW4k2N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0691586363B407F601434A5150065D019A3AAD87A7AD5CCEA0DFD6A9058F4037E70D7A66ACDAB85061F70B75776A5ECD9ADCEFC0B33EA03D7514DW4k2N" TargetMode="External"/><Relationship Id="rId14" Type="http://schemas.openxmlformats.org/officeDocument/2006/relationships/hyperlink" Target="consultantplus://offline/ref=10691586363B407F601434A5150065D019A3AAD8787FD1CDEB0DFD6A9058F4037E70D7A66ACDAB85061F70B75776A5ECD9ADCEFC0B33EA03D7514DW4k2N" TargetMode="External"/><Relationship Id="rId22" Type="http://schemas.openxmlformats.org/officeDocument/2006/relationships/hyperlink" Target="consultantplus://offline/ref=10691586363B407F60142AA8036C3FDD19A8F1DD7C7DDD9CBE52A637C751FE542B3FD6E82EC2B4850F0172B25EW2k0N" TargetMode="External"/><Relationship Id="rId27" Type="http://schemas.openxmlformats.org/officeDocument/2006/relationships/hyperlink" Target="consultantplus://offline/ref=10691586363B407F601434A5150065D019A3AAD87876DFCDE50DFD6A9058F4037E70D7A66ACDAB85061F70BA5776A5ECD9ADCEFC0B33EA03D7514DW4k2N" TargetMode="External"/><Relationship Id="rId30" Type="http://schemas.openxmlformats.org/officeDocument/2006/relationships/hyperlink" Target="consultantplus://offline/ref=10691586363B407F601434A5150065D019A3AAD87C78D5CBE70DFD6A9058F4037E70D7B46A95A785040170BB4220F4AAW8kEN" TargetMode="External"/><Relationship Id="rId35" Type="http://schemas.openxmlformats.org/officeDocument/2006/relationships/hyperlink" Target="consultantplus://offline/ref=10691586363B407F60142AA8036C3FDD19AAF0D27C7BDD9CBE52A637C751FE54393F8EE42EC0AB86051424E31877F9A88EBECEF70B31E31FWDk7N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81</Pages>
  <Words>25877</Words>
  <Characters>147505</Characters>
  <Application>Microsoft Office Word</Application>
  <DocSecurity>0</DocSecurity>
  <Lines>1229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Оверчук</dc:creator>
  <cp:keywords/>
  <dc:description/>
  <cp:lastModifiedBy>Юлия Оверчук</cp:lastModifiedBy>
  <cp:revision>16</cp:revision>
  <dcterms:created xsi:type="dcterms:W3CDTF">2022-09-02T13:36:00Z</dcterms:created>
  <dcterms:modified xsi:type="dcterms:W3CDTF">2023-11-28T13:54:00Z</dcterms:modified>
</cp:coreProperties>
</file>