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lang w:eastAsia="ru-RU"/>
        </w:rPr>
        <w:t xml:space="preserve">Уведомление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br/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lang w:eastAsia="ru-RU"/>
        </w:rPr>
        <w:t xml:space="preserve">о проведении публичных консультаций посредством сбора замечаний</w:t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br/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lang w:eastAsia="ru-RU"/>
        </w:rPr>
        <w:t xml:space="preserve">и предложений организаций и граждан в рамках анализа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br/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lang w:eastAsia="ru-RU"/>
        </w:rPr>
        <w:t xml:space="preserve"> проекта муниципального нормативного правового акта</w:t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br/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lang w:eastAsia="ru-RU"/>
        </w:rPr>
        <w:t xml:space="preserve">на предмет его влияния на конкуренцию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r>
    </w:p>
    <w:tbl>
      <w:tblPr>
        <w:tblW w:w="1026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1"/>
      </w:tblGrid>
      <w:tr>
        <w:tblPrEx/>
        <w:trPr>
          <w:jc w:val="center"/>
        </w:trPr>
        <w:tc>
          <w:tcPr>
            <w:shd w:val="clear" w:color="auto" w:fill="auto"/>
            <w:tcBorders>
              <w:top w:val="single" w:color="777777" w:sz="12" w:space="0"/>
              <w:left w:val="single" w:color="777777" w:sz="12" w:space="0"/>
              <w:bottom w:val="single" w:color="777777" w:sz="12" w:space="0"/>
              <w:right w:val="single" w:color="777777" w:sz="12" w:space="0"/>
            </w:tcBorders>
            <w:tcMar>
              <w:left w:w="167" w:type="dxa"/>
              <w:top w:w="84" w:type="dxa"/>
              <w:right w:w="167" w:type="dxa"/>
              <w:bottom w:w="84" w:type="dxa"/>
            </w:tcMar>
            <w:tcW w:w="10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Управление образования администрации 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Губкинского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 городского округа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br/>
              <w:t xml:space="preserve">уведомляет о проведении публичных консультаций посредством сбора замечаний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br/>
              <w:t xml:space="preserve">и предложений организаций и граждан 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  <w:t xml:space="preserve">по 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проекту 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  <w:t xml:space="preserve">постановления администрации 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  <w:t xml:space="preserve">Губкинского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  <w:t xml:space="preserve"> городского округа  «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 внесении изменений в постановление администрации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Губкинского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городского округа от 24 декабря 2024 года № 1659-па»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на предмет его влияния на конкуренцию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Borders>
              <w:top w:val="single" w:color="777777" w:sz="12" w:space="0"/>
              <w:left w:val="single" w:color="777777" w:sz="12" w:space="0"/>
              <w:bottom w:val="single" w:color="777777" w:sz="12" w:space="0"/>
              <w:right w:val="single" w:color="777777" w:sz="12" w:space="0"/>
            </w:tcBorders>
            <w:tcMar>
              <w:left w:w="167" w:type="dxa"/>
              <w:top w:w="84" w:type="dxa"/>
              <w:right w:w="167" w:type="dxa"/>
              <w:bottom w:w="84" w:type="dxa"/>
            </w:tcMar>
            <w:tcW w:w="10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309189, Белгородская область,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г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. Губкин, ул. Мира, д. 16, а также по адресу электронной почты: </w:t>
            </w:r>
            <w:r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 xml:space="preserve">gubpressa</w:t>
            </w:r>
            <w:r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 xml:space="preserve">@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gu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belregion</w:t>
            </w:r>
            <w:bookmarkStart w:id="0" w:name="_GoBack"/>
            <w:r/>
            <w:bookmarkEnd w:id="0"/>
            <w:r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 xml:space="preserve">.</w:t>
            </w:r>
            <w:r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 xml:space="preserve">ru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Сроки прие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ма предложений и замечаний: 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29.05.2025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11.06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года.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Губкинского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 городского округа, действующих муниципальных нормативных правовых актов администрации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Губкинского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 городского округа на предмет выявления рисков нарушения антимоноп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ольного законодательства за 202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 год, который до 10.02.202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года в составе ежегодного доклада об антимонопольном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комплаенсе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 будет размещен на официальном сайте органов местного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 самоуправления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Губкинского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 городского округа в разделе «</w:t>
            </w:r>
            <w:hyperlink r:id="rId8" w:tooltip="http://gubkinadm.ru/dokumenty/antimonopolnyi-komplaens" w:history="1">
              <w:r>
                <w:rPr>
                  <w:rFonts w:ascii="Times New Roman" w:hAnsi="Times New Roman" w:eastAsia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 xml:space="preserve">Антимонопольный</w:t>
              </w:r>
              <w:r>
                <w:rPr>
                  <w:rFonts w:ascii="Times New Roman" w:hAnsi="Times New Roman" w:eastAsia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 xml:space="preserve"> </w:t>
              </w:r>
              <w:r>
                <w:rPr>
                  <w:rFonts w:ascii="Times New Roman" w:hAnsi="Times New Roman" w:eastAsia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 xml:space="preserve">комплаенс</w:t>
              </w:r>
            </w:hyperlink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».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К уведомлению прилагаются: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Word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. (</w:t>
            </w:r>
            <w:hyperlink r:id="rId9" w:tooltip="http://gubkinadm.ru/gubkindocs/documents/antimon_komplaens/izm_2471-pa/anketa.doc" w:history="1">
              <w:r>
                <w:rPr>
                  <w:rFonts w:ascii="Times New Roman" w:hAnsi="Times New Roman" w:eastAsia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 xml:space="preserve">Скачать</w:t>
              </w:r>
            </w:hyperlink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2. Те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кст пр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оекта муниципального нормативного правового акта в формате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Word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. (</w:t>
            </w:r>
            <w:hyperlink r:id="rId10" w:tooltip="http://gubkinadm.ru/gubkindocs/documents/antimon_komplaens/izm_2471-pa/proekt.doc" w:history="1">
              <w:r>
                <w:rPr>
                  <w:rFonts w:ascii="Times New Roman" w:hAnsi="Times New Roman" w:eastAsia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 xml:space="preserve">Скачать</w:t>
              </w:r>
            </w:hyperlink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3. Текст действующего муниципального нормативного правового акта в формате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Word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. (</w:t>
            </w:r>
            <w:hyperlink r:id="rId11" w:tooltip="http://gubkinadm.ru/gubkindocs/documents/antimon_komplaens/izm_2471-pa/post_2471-pa.doc" w:history="1">
              <w:r>
                <w:rPr>
                  <w:rFonts w:ascii="Times New Roman" w:hAnsi="Times New Roman" w:eastAsia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 xml:space="preserve">Скачать</w:t>
              </w:r>
            </w:hyperlink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4.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Word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. (</w:t>
            </w:r>
            <w:hyperlink r:id="rId12" w:tooltip="http://gubkinadm.ru/gubkindocs/documents/antimon_komplaens/izm_2471-pa/obosnovanie.doc" w:history="1">
              <w:r>
                <w:rPr>
                  <w:rFonts w:ascii="Times New Roman" w:hAnsi="Times New Roman" w:eastAsia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 xml:space="preserve">Скачать</w:t>
              </w:r>
            </w:hyperlink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 Место размещения приложений в информационно-телекоммуникационной сети «Интернет»: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официальный сайт органов местного самоуправления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Губкинского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 городского округа, раздел «</w:t>
            </w:r>
            <w:hyperlink r:id="rId13" w:tooltip="http://gubkinadm.ru/dokumenty/antimonopolnyi-komplaens" w:history="1">
              <w:r>
                <w:rPr>
                  <w:rFonts w:ascii="Times New Roman" w:hAnsi="Times New Roman" w:eastAsia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 xml:space="preserve">Антимонопольный </w:t>
              </w:r>
              <w:r>
                <w:rPr>
                  <w:rFonts w:ascii="Times New Roman" w:hAnsi="Times New Roman" w:eastAsia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 xml:space="preserve">комплаенс</w:t>
              </w:r>
            </w:hyperlink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Borders>
              <w:top w:val="single" w:color="777777" w:sz="12" w:space="0"/>
              <w:left w:val="single" w:color="777777" w:sz="12" w:space="0"/>
              <w:bottom w:val="single" w:color="777777" w:sz="12" w:space="0"/>
              <w:right w:val="single" w:color="777777" w:sz="12" w:space="0"/>
            </w:tcBorders>
            <w:tcMar>
              <w:left w:w="167" w:type="dxa"/>
              <w:top w:w="84" w:type="dxa"/>
              <w:right w:w="167" w:type="dxa"/>
              <w:bottom w:w="84" w:type="dxa"/>
            </w:tcMar>
            <w:tcW w:w="1026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Контактное лицо: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Землякова Марья Николаевна, заместитель руководителя аппарата, начальник управления массовых коммуникаций и информационных технологий администрации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Губкинского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 городского округ, телефон (47-241) 2-16-28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Режим работы: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с 9-00 до 18-00, перерыв с 13-00 до 14-00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r>
          </w:p>
        </w:tc>
      </w:tr>
    </w:tbl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sectPr>
      <w:footnotePr/>
      <w:endnotePr/>
      <w:type w:val="nextPage"/>
      <w:pgSz w:w="11907" w:h="16839" w:orient="portrait"/>
      <w:pgMar w:top="851" w:right="1134" w:bottom="1701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://gubkinadm.ru/dokumenty/antimonopolnyi-komplaens" TargetMode="External"/><Relationship Id="rId9" Type="http://schemas.openxmlformats.org/officeDocument/2006/relationships/hyperlink" Target="http://gubkinadm.ru/gubkindocs/documents/antimon_komplaens/izm_2471-pa/anketa.doc" TargetMode="External"/><Relationship Id="rId10" Type="http://schemas.openxmlformats.org/officeDocument/2006/relationships/hyperlink" Target="http://gubkinadm.ru/gubkindocs/documents/antimon_komplaens/izm_2471-pa/proekt.doc" TargetMode="External"/><Relationship Id="rId11" Type="http://schemas.openxmlformats.org/officeDocument/2006/relationships/hyperlink" Target="http://gubkinadm.ru/gubkindocs/documents/antimon_komplaens/izm_2471-pa/post_2471-pa.doc" TargetMode="External"/><Relationship Id="rId12" Type="http://schemas.openxmlformats.org/officeDocument/2006/relationships/hyperlink" Target="http://gubkinadm.ru/gubkindocs/documents/antimon_komplaens/izm_2471-pa/obosnovanie.doc" TargetMode="External"/><Relationship Id="rId13" Type="http://schemas.openxmlformats.org/officeDocument/2006/relationships/hyperlink" Target="http://gubkinadm.ru/dokumenty/antimonopolnyi-komplaens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26</cp:revision>
  <dcterms:created xsi:type="dcterms:W3CDTF">2019-12-09T11:35:00Z</dcterms:created>
  <dcterms:modified xsi:type="dcterms:W3CDTF">2025-05-27T14:38:08Z</dcterms:modified>
</cp:coreProperties>
</file>