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Уведомление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и предложений организаций и граждан в рамках анализа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проекта </w:t>
      </w:r>
      <w:r>
        <w:rPr>
          <w:b/>
          <w:bCs/>
          <w:sz w:val="27"/>
          <w:szCs w:val="27"/>
        </w:rPr>
        <w:t xml:space="preserve">муниципального </w:t>
      </w:r>
      <w:r>
        <w:rPr>
          <w:b/>
          <w:bCs/>
          <w:sz w:val="27"/>
          <w:szCs w:val="27"/>
        </w:rPr>
        <w:t xml:space="preserve">нормативного правового акта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11"/>
        </w:trPr>
        <w:tc>
          <w:tcPr>
            <w:shd w:val="clear" w:color="000000" w:fill="ffffff"/>
            <w:tcW w:w="985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Управление транспорта, связи и телекоммуникаций 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</w:t>
            </w:r>
            <w:r>
              <w:rPr>
                <w:b/>
                <w:color w:val="000000"/>
                <w:sz w:val="24"/>
                <w:szCs w:val="24"/>
              </w:rPr>
              <w:t xml:space="preserve">дминистраци</w:t>
            </w:r>
            <w:r>
              <w:rPr>
                <w:b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color w:val="000000"/>
                <w:sz w:val="24"/>
                <w:szCs w:val="24"/>
              </w:rPr>
              <w:t xml:space="preserve"> Губкинского городского округа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предложений организаций и граждан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b/>
                <w:sz w:val="24"/>
                <w:szCs w:val="24"/>
              </w:rPr>
              <w:t xml:space="preserve"> постановления администрации Губкинского городского округа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«О внесении изменений в постановление администрации Губкинского городского округа от 10 мая 2016 года № 877-па»</w:t>
            </w:r>
            <w:r>
              <w:rPr>
                <w:b/>
                <w:sz w:val="24"/>
                <w:szCs w:val="24"/>
                <w:u w:val="single"/>
              </w:rPr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pStyle w:val="88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</w:r>
            <w:r>
              <w:rPr>
                <w:rFonts w:ascii="Times New Roman" w:hAnsi="Times New Roman" w:cs="Times New Roman"/>
                <w:b/>
                <w:u w:val="single"/>
              </w:rPr>
            </w:r>
            <w:r>
              <w:rPr>
                <w:rFonts w:ascii="Times New Roman" w:hAnsi="Times New Roman" w:cs="Times New Roman"/>
                <w:b/>
                <w:u w:val="single"/>
              </w:rPr>
            </w:r>
          </w:p>
          <w:p>
            <w:pPr>
              <w:pStyle w:val="864"/>
              <w:jc w:val="center"/>
              <w:rPr>
                <w:i/>
                <w:color w:val="000000"/>
              </w:rPr>
            </w:pP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(наименование муниципального </w:t>
            </w:r>
            <w:r>
              <w:rPr>
                <w:i/>
                <w:color w:val="000000"/>
              </w:rPr>
              <w:t xml:space="preserve">нормативного правового акта администрации Губкинского городского округа)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  <w:p>
            <w:pPr>
              <w:pStyle w:val="864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58"/>
        </w:trPr>
        <w:tc>
          <w:tcPr>
            <w:shd w:val="clear" w:color="000000" w:fill="ffffff"/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</w:t>
            </w:r>
            <w:r>
              <w:rPr>
                <w:color w:val="000000"/>
                <w:sz w:val="24"/>
                <w:szCs w:val="24"/>
              </w:rPr>
              <w:t xml:space="preserve">е</w:t>
            </w:r>
            <w:r>
              <w:rPr>
                <w:color w:val="000000"/>
                <w:sz w:val="24"/>
                <w:szCs w:val="24"/>
              </w:rPr>
              <w:t xml:space="preserve">чания и предложения по проекту муниципального нормативного правового акта на предмет его влияния на конкуренцию.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</w:t>
            </w:r>
            <w:r>
              <w:rPr>
                <w:color w:val="000000"/>
                <w:sz w:val="24"/>
                <w:szCs w:val="24"/>
              </w:rPr>
              <w:t xml:space="preserve"> г. Губкин, ул. Победы, д.3, каб. </w:t>
            </w:r>
            <w:r>
              <w:rPr>
                <w:color w:val="000000"/>
                <w:sz w:val="24"/>
                <w:szCs w:val="24"/>
              </w:rPr>
              <w:t xml:space="preserve">302</w:t>
            </w:r>
            <w:r>
              <w:rPr>
                <w:color w:val="000000"/>
                <w:sz w:val="24"/>
                <w:szCs w:val="24"/>
              </w:rPr>
              <w:t xml:space="preserve"> - 304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rPr>
                <w:color w:val="000000"/>
                <w:sz w:val="24"/>
                <w:szCs w:val="24"/>
              </w:rPr>
              <w:t xml:space="preserve">  а также по адресу электронной почты: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US"/>
              </w:rPr>
              <w:instrText xml:space="preserve">HYPERLINK</w:instrText>
            </w:r>
            <w:r>
              <w:rPr>
                <w:sz w:val="24"/>
                <w:szCs w:val="24"/>
              </w:rPr>
              <w:instrText xml:space="preserve"> "</w:instrText>
            </w:r>
            <w:r>
              <w:rPr>
                <w:sz w:val="24"/>
                <w:szCs w:val="24"/>
                <w:lang w:val="en-US"/>
              </w:rPr>
              <w:instrText xml:space="preserve">mailto</w:instrText>
            </w:r>
            <w:r>
              <w:rPr>
                <w:sz w:val="24"/>
                <w:szCs w:val="24"/>
              </w:rPr>
              <w:instrText xml:space="preserve">:</w:instrText>
            </w:r>
            <w:r>
              <w:rPr>
                <w:sz w:val="24"/>
                <w:szCs w:val="24"/>
                <w:lang w:val="en-US"/>
              </w:rPr>
              <w:instrText xml:space="preserve">gubtransport</w:instrText>
            </w:r>
            <w:r>
              <w:rPr>
                <w:sz w:val="24"/>
                <w:szCs w:val="24"/>
              </w:rPr>
              <w:instrText xml:space="preserve">@</w:instrText>
            </w:r>
            <w:r>
              <w:rPr>
                <w:sz w:val="24"/>
                <w:szCs w:val="24"/>
                <w:lang w:val="en-US"/>
              </w:rPr>
              <w:instrText xml:space="preserve">mail</w:instrText>
            </w:r>
            <w:r>
              <w:rPr>
                <w:sz w:val="24"/>
                <w:szCs w:val="24"/>
              </w:rPr>
              <w:instrText xml:space="preserve">.</w:instrText>
            </w:r>
            <w:r>
              <w:rPr>
                <w:sz w:val="24"/>
                <w:szCs w:val="24"/>
                <w:lang w:val="en-US"/>
              </w:rPr>
              <w:instrText xml:space="preserve">ru</w:instrText>
            </w:r>
            <w:r>
              <w:rPr>
                <w:sz w:val="24"/>
                <w:szCs w:val="24"/>
              </w:rPr>
              <w:instrText xml:space="preserve">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879"/>
                <w:sz w:val="24"/>
                <w:szCs w:val="24"/>
                <w:lang w:val="en-US"/>
              </w:rPr>
              <w:t xml:space="preserve">gubtransport</w:t>
            </w:r>
            <w:r>
              <w:rPr>
                <w:rStyle w:val="879"/>
                <w:sz w:val="24"/>
                <w:szCs w:val="24"/>
              </w:rPr>
              <w:t xml:space="preserve">@</w:t>
            </w:r>
            <w:r>
              <w:rPr>
                <w:rStyle w:val="879"/>
                <w:sz w:val="24"/>
                <w:szCs w:val="24"/>
                <w:lang w:val="en-US"/>
              </w:rPr>
              <w:t xml:space="preserve">mail</w:t>
            </w:r>
            <w:r>
              <w:rPr>
                <w:rStyle w:val="879"/>
                <w:sz w:val="24"/>
                <w:szCs w:val="24"/>
              </w:rPr>
              <w:t xml:space="preserve">.</w:t>
            </w:r>
            <w:r>
              <w:rPr>
                <w:rStyle w:val="879"/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Сроки приема предложений и замечаний: с </w:t>
            </w:r>
            <w:r>
              <w:rPr>
                <w:color w:val="000000"/>
                <w:sz w:val="24"/>
                <w:szCs w:val="24"/>
              </w:rPr>
              <w:t xml:space="preserve">28</w:t>
            </w:r>
            <w:r>
              <w:rPr>
                <w:color w:val="000000"/>
                <w:sz w:val="24"/>
                <w:szCs w:val="24"/>
              </w:rPr>
              <w:t xml:space="preserve">.11</w:t>
            </w:r>
            <w:r>
              <w:rPr>
                <w:color w:val="000000"/>
                <w:sz w:val="24"/>
                <w:szCs w:val="24"/>
              </w:rPr>
              <w:t xml:space="preserve">.20</w:t>
            </w:r>
            <w:r>
              <w:rPr>
                <w:color w:val="000000"/>
                <w:sz w:val="24"/>
                <w:szCs w:val="24"/>
              </w:rPr>
              <w:t xml:space="preserve">2</w:t>
            </w:r>
            <w:r>
              <w:rPr>
                <w:color w:val="000000"/>
                <w:sz w:val="24"/>
                <w:szCs w:val="24"/>
              </w:rPr>
              <w:t xml:space="preserve"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года по </w:t>
            </w:r>
            <w:r>
              <w:rPr>
                <w:color w:val="000000"/>
                <w:sz w:val="24"/>
                <w:szCs w:val="24"/>
              </w:rPr>
              <w:t xml:space="preserve">11.12</w:t>
            </w:r>
            <w:r>
              <w:rPr>
                <w:color w:val="000000"/>
                <w:sz w:val="24"/>
                <w:szCs w:val="24"/>
              </w:rPr>
              <w:t xml:space="preserve">.202</w:t>
            </w:r>
            <w:r>
              <w:rPr>
                <w:color w:val="000000"/>
                <w:sz w:val="24"/>
                <w:szCs w:val="24"/>
              </w:rPr>
              <w:t xml:space="preserve">4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проектов муниципальных нормативных правовых актов админ</w:t>
            </w:r>
            <w:r>
              <w:rPr>
                <w:color w:val="000000"/>
                <w:sz w:val="24"/>
                <w:szCs w:val="24"/>
              </w:rPr>
              <w:t xml:space="preserve">и</w:t>
            </w:r>
            <w:r>
              <w:rPr>
                <w:color w:val="000000"/>
                <w:sz w:val="24"/>
                <w:szCs w:val="24"/>
              </w:rPr>
              <w:t xml:space="preserve">страции Губкинского городского округа, действующих муниципальных нормативных прав</w:t>
            </w:r>
            <w:r>
              <w:rPr>
                <w:color w:val="000000"/>
                <w:sz w:val="24"/>
                <w:szCs w:val="24"/>
              </w:rPr>
              <w:t xml:space="preserve">о</w:t>
            </w:r>
            <w:r>
              <w:rPr>
                <w:color w:val="000000"/>
                <w:sz w:val="24"/>
                <w:szCs w:val="24"/>
              </w:rPr>
              <w:t xml:space="preserve">вых актов администрации Губкинского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 на предмет выявления рисков н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рушения антимонопольного законодательства</w:t>
            </w:r>
            <w:r>
              <w:rPr>
                <w:color w:val="000000"/>
                <w:sz w:val="24"/>
                <w:szCs w:val="24"/>
              </w:rPr>
              <w:t xml:space="preserve"> за 20</w:t>
            </w:r>
            <w:r>
              <w:rPr>
                <w:color w:val="000000"/>
                <w:sz w:val="24"/>
                <w:szCs w:val="24"/>
              </w:rPr>
              <w:t xml:space="preserve">2</w:t>
            </w:r>
            <w:r>
              <w:rPr>
                <w:color w:val="000000"/>
                <w:sz w:val="24"/>
                <w:szCs w:val="24"/>
              </w:rPr>
              <w:t xml:space="preserve">4 год</w:t>
            </w:r>
            <w:r>
              <w:rPr>
                <w:color w:val="000000"/>
                <w:sz w:val="24"/>
                <w:szCs w:val="24"/>
              </w:rPr>
              <w:t xml:space="preserve">, кот</w:t>
            </w:r>
            <w:r>
              <w:rPr>
                <w:color w:val="000000"/>
                <w:sz w:val="24"/>
                <w:szCs w:val="24"/>
              </w:rPr>
              <w:t xml:space="preserve">о</w:t>
            </w:r>
            <w:r>
              <w:rPr>
                <w:color w:val="000000"/>
                <w:sz w:val="24"/>
                <w:szCs w:val="24"/>
              </w:rPr>
              <w:t xml:space="preserve">рый </w:t>
              <w:br/>
              <w:t xml:space="preserve">до 10.02.20</w:t>
            </w:r>
            <w:r>
              <w:rPr>
                <w:color w:val="000000"/>
                <w:sz w:val="24"/>
                <w:szCs w:val="24"/>
              </w:rPr>
              <w:t xml:space="preserve">2</w:t>
            </w:r>
            <w:r>
              <w:rPr>
                <w:color w:val="000000"/>
                <w:sz w:val="24"/>
                <w:szCs w:val="24"/>
              </w:rPr>
              <w:t xml:space="preserve">5 года </w:t>
            </w:r>
            <w:r>
              <w:rPr>
                <w:color w:val="000000"/>
                <w:sz w:val="24"/>
                <w:szCs w:val="24"/>
              </w:rPr>
              <w:t xml:space="preserve">в составе ежегодного доклада об антим</w:t>
            </w:r>
            <w:r>
              <w:rPr>
                <w:color w:val="000000"/>
                <w:sz w:val="24"/>
                <w:szCs w:val="24"/>
              </w:rPr>
              <w:t xml:space="preserve">о</w:t>
            </w:r>
            <w:r>
              <w:rPr>
                <w:color w:val="000000"/>
                <w:sz w:val="24"/>
                <w:szCs w:val="24"/>
              </w:rPr>
              <w:t xml:space="preserve">нопольном комплаенсе будет размещен на официальном сайте органов местного самоуправления Губкинского городского округа в разделе «Антимон</w:t>
            </w:r>
            <w:r>
              <w:rPr>
                <w:color w:val="000000"/>
                <w:sz w:val="24"/>
                <w:szCs w:val="24"/>
              </w:rPr>
              <w:t xml:space="preserve">о</w:t>
            </w:r>
            <w:r>
              <w:rPr>
                <w:color w:val="000000"/>
                <w:sz w:val="24"/>
                <w:szCs w:val="24"/>
              </w:rPr>
              <w:t xml:space="preserve">польный комплаенс».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уведомлению прилагаются: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W</w:t>
            </w:r>
            <w:r>
              <w:rPr>
                <w:color w:val="000000"/>
                <w:sz w:val="24"/>
                <w:szCs w:val="24"/>
              </w:rPr>
              <w:t xml:space="preserve">ord.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>
              <w:rPr>
                <w:color w:val="000000"/>
                <w:sz w:val="24"/>
                <w:szCs w:val="24"/>
              </w:rPr>
              <w:t xml:space="preserve">Текст проекта муниципального нормативного правового акта в формате Word.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Текст действующего муниципального нормативного правового акта в формате Word.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«Интернет»: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официальный сайт органов местного самоуправления Губкинского городского округа,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i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раздел «Антимонопольный комплаенс»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"http://gubkinadm.ru/" </w:instrText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>
              <w:rPr>
                <w:rStyle w:val="879"/>
                <w:sz w:val="24"/>
                <w:szCs w:val="24"/>
              </w:rPr>
              <w:t xml:space="preserve">http://gubkinadm.ru/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05"/>
        </w:trPr>
        <w:tc>
          <w:tcPr>
            <w:shd w:val="clear" w:color="000000" w:fill="ffffff"/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Контактное лицо: </w:t>
            </w:r>
            <w:r>
              <w:rPr>
                <w:color w:val="000000"/>
                <w:sz w:val="24"/>
                <w:szCs w:val="24"/>
              </w:rPr>
              <w:t xml:space="preserve">Калачев Андрей Валериевич</w:t>
            </w:r>
            <w:r>
              <w:rPr>
                <w:color w:val="000000"/>
                <w:sz w:val="24"/>
                <w:szCs w:val="24"/>
              </w:rPr>
              <w:t xml:space="preserve">, начальник управления транспорта, связи и телекоммуникаций администрации Губкинского</w:t>
            </w:r>
            <w:r>
              <w:rPr>
                <w:color w:val="000000"/>
                <w:sz w:val="24"/>
                <w:szCs w:val="24"/>
              </w:rPr>
              <w:t xml:space="preserve"> городского округа, тел. 5-57-26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ФИО</w:t>
            </w:r>
            <w:r>
              <w:rPr>
                <w:i/>
                <w:color w:val="000000"/>
                <w:sz w:val="24"/>
                <w:szCs w:val="24"/>
              </w:rPr>
              <w:t xml:space="preserve">, должность, контактный телефон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Режим работы: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i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 9-00 до 18-00, перерыв с 13-00 до 14-00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</w:tc>
      </w:tr>
    </w:tbl>
    <w:p>
      <w:pPr>
        <w:pStyle w:val="86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Liberation Serif">
    <w:panose1 w:val="02020603050405020304"/>
  </w:font>
  <w:font w:name="Segoe UI">
    <w:panose1 w:val="020B0502040504020204"/>
  </w:font>
  <w:font w:name="NSimSun">
    <w:panose1 w:val="0200050600000002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4"/>
    <w:next w:val="864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4"/>
    <w:next w:val="864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4"/>
    <w:next w:val="864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4"/>
    <w:next w:val="8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4"/>
    <w:next w:val="864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4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4"/>
    <w:next w:val="864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4"/>
    <w:next w:val="864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4"/>
    <w:next w:val="864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4"/>
    <w:next w:val="864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link w:val="714"/>
    <w:uiPriority w:val="99"/>
  </w:style>
  <w:style w:type="paragraph" w:styleId="716">
    <w:name w:val="Footer"/>
    <w:basedOn w:val="864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Footer Char"/>
    <w:link w:val="716"/>
    <w:uiPriority w:val="99"/>
  </w:style>
  <w:style w:type="paragraph" w:styleId="718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716"/>
    <w:uiPriority w:val="99"/>
  </w:style>
  <w:style w:type="table" w:styleId="7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next w:val="864"/>
    <w:link w:val="864"/>
    <w:qFormat/>
    <w:rPr>
      <w:rFonts w:ascii="Times New Roman" w:hAnsi="Times New Roman" w:cs="Times New Roman"/>
      <w:lang w:val="ru-RU" w:eastAsia="ru-RU" w:bidi="ar-SA"/>
    </w:rPr>
  </w:style>
  <w:style w:type="character" w:styleId="865">
    <w:name w:val="Основной шрифт абзаца"/>
    <w:next w:val="865"/>
    <w:link w:val="864"/>
    <w:uiPriority w:val="1"/>
    <w:unhideWhenUsed/>
  </w:style>
  <w:style w:type="table" w:styleId="866">
    <w:name w:val="Обычная таблица"/>
    <w:next w:val="866"/>
    <w:link w:val="864"/>
    <w:uiPriority w:val="99"/>
    <w:semiHidden/>
    <w:unhideWhenUsed/>
    <w:tblPr/>
  </w:style>
  <w:style w:type="numbering" w:styleId="867">
    <w:name w:val="Нет списка"/>
    <w:next w:val="867"/>
    <w:link w:val="864"/>
    <w:uiPriority w:val="99"/>
    <w:semiHidden/>
    <w:unhideWhenUsed/>
  </w:style>
  <w:style w:type="paragraph" w:styleId="868">
    <w:name w:val="Верхний колонтитул"/>
    <w:basedOn w:val="864"/>
    <w:next w:val="868"/>
    <w:link w:val="86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next w:val="869"/>
    <w:link w:val="868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870">
    <w:name w:val="Нижний колонтитул"/>
    <w:basedOn w:val="864"/>
    <w:next w:val="870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>
    <w:name w:val="Нижний колонтитул Знак"/>
    <w:next w:val="871"/>
    <w:link w:val="870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872">
    <w:name w:val="pr"/>
    <w:basedOn w:val="864"/>
    <w:next w:val="872"/>
    <w:link w:val="864"/>
    <w:pPr>
      <w:spacing w:before="100" w:beforeAutospacing="1" w:after="100" w:afterAutospacing="1"/>
    </w:pPr>
    <w:rPr>
      <w:sz w:val="24"/>
      <w:szCs w:val="24"/>
    </w:rPr>
  </w:style>
  <w:style w:type="paragraph" w:styleId="873">
    <w:name w:val="Default"/>
    <w:next w:val="873"/>
    <w:link w:val="864"/>
    <w:rPr>
      <w:rFonts w:ascii="Times New Roman" w:hAnsi="Times New Roman" w:cs="Times New Roman"/>
      <w:color w:val="000000"/>
      <w:sz w:val="24"/>
      <w:szCs w:val="24"/>
      <w:lang w:val="ru-RU" w:eastAsia="en-US" w:bidi="ar-SA"/>
    </w:rPr>
  </w:style>
  <w:style w:type="character" w:styleId="874">
    <w:name w:val="w"/>
    <w:next w:val="874"/>
    <w:link w:val="864"/>
  </w:style>
  <w:style w:type="character" w:styleId="875">
    <w:name w:val="blk"/>
    <w:next w:val="875"/>
    <w:link w:val="864"/>
  </w:style>
  <w:style w:type="paragraph" w:styleId="876">
    <w:name w:val="Абзац списка"/>
    <w:basedOn w:val="864"/>
    <w:next w:val="876"/>
    <w:link w:val="864"/>
    <w:uiPriority w:val="34"/>
    <w:qFormat/>
    <w:pPr>
      <w:contextualSpacing/>
      <w:ind w:left="720"/>
    </w:pPr>
  </w:style>
  <w:style w:type="paragraph" w:styleId="877">
    <w:name w:val="Текст выноски"/>
    <w:basedOn w:val="864"/>
    <w:next w:val="877"/>
    <w:link w:val="87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8">
    <w:name w:val="Текст выноски Знак"/>
    <w:next w:val="878"/>
    <w:link w:val="877"/>
    <w:uiPriority w:val="99"/>
    <w:semiHidden/>
    <w:rPr>
      <w:rFonts w:ascii="Segoe UI" w:hAnsi="Segoe UI" w:cs="Segoe UI"/>
      <w:sz w:val="18"/>
      <w:szCs w:val="18"/>
      <w:lang w:val="en-US" w:eastAsia="ru-RU"/>
    </w:rPr>
  </w:style>
  <w:style w:type="character" w:styleId="879">
    <w:name w:val="Гиперссылка"/>
    <w:next w:val="879"/>
    <w:link w:val="864"/>
    <w:uiPriority w:val="99"/>
    <w:unhideWhenUsed/>
    <w:rPr>
      <w:rFonts w:cs="Times New Roman"/>
      <w:color w:val="0563c1"/>
      <w:u w:val="single"/>
    </w:rPr>
  </w:style>
  <w:style w:type="table" w:styleId="880">
    <w:name w:val="Сетка таблицы"/>
    <w:basedOn w:val="866"/>
    <w:next w:val="880"/>
    <w:link w:val="864"/>
    <w:uiPriority w:val="59"/>
    <w:pPr>
      <w:spacing w:after="0" w:line="240" w:lineRule="auto"/>
    </w:pPr>
    <w:rPr>
      <w:rFonts w:cs="Calibri"/>
    </w:rPr>
    <w:tblPr/>
  </w:style>
  <w:style w:type="character" w:styleId="881">
    <w:name w:val="Замещающий текст"/>
    <w:next w:val="881"/>
    <w:link w:val="864"/>
    <w:uiPriority w:val="99"/>
    <w:semiHidden/>
    <w:rPr>
      <w:rFonts w:cs="Times New Roman"/>
      <w:color w:val="808080"/>
    </w:rPr>
  </w:style>
  <w:style w:type="paragraph" w:styleId="882">
    <w:name w:val="ConsPlusNormal"/>
    <w:next w:val="882"/>
    <w:link w:val="864"/>
    <w:rPr>
      <w:rFonts w:ascii="Arial" w:hAnsi="Arial" w:cs="Arial"/>
      <w:lang w:val="ru-RU" w:eastAsia="ru-RU" w:bidi="ar-SA"/>
    </w:rPr>
  </w:style>
  <w:style w:type="character" w:styleId="883">
    <w:name w:val="Просмотренная гиперссылка"/>
    <w:next w:val="883"/>
    <w:link w:val="864"/>
    <w:uiPriority w:val="99"/>
    <w:semiHidden/>
    <w:unhideWhenUsed/>
    <w:rPr>
      <w:rFonts w:cs="Times New Roman"/>
      <w:color w:val="954f72"/>
      <w:u w:val="single"/>
    </w:rPr>
  </w:style>
  <w:style w:type="paragraph" w:styleId="884">
    <w:name w:val="Standard"/>
    <w:next w:val="884"/>
    <w:link w:val="864"/>
    <w:rPr>
      <w:rFonts w:ascii="Liberation Serif" w:hAnsi="Liberation Serif" w:eastAsia="NSimSun" w:cs="Arial"/>
      <w:sz w:val="24"/>
      <w:szCs w:val="24"/>
      <w:lang w:val="ru-RU" w:eastAsia="zh-CN" w:bidi="hi-IN"/>
    </w:rPr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revision>4</cp:revision>
  <dcterms:created xsi:type="dcterms:W3CDTF">2024-11-27T11:19:00Z</dcterms:created>
  <dcterms:modified xsi:type="dcterms:W3CDTF">2024-11-27T12:50:58Z</dcterms:modified>
  <cp:version>983040</cp:version>
</cp:coreProperties>
</file>