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Arial" w:hAnsi="Arial" w:eastAsia="Times New Roman" w:cs="Arial"/>
          <w:b/>
          <w:lang w:eastAsia="ru-RU"/>
        </w:rPr>
        <w:outlineLvl w:val="0"/>
      </w:pPr>
      <w:r>
        <w:rPr>
          <w:rFonts w:ascii="Arial" w:hAnsi="Arial" w:eastAsia="Times New Roman" w:cs="Arial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eastAsia="Times New Roman" w:cs="Arial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eastAsia="Times New Roman" w:cs="Arial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eastAsia="Times New Roman" w:cs="Arial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eastAsia="Times New Roman" w:cs="Arial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lang w:eastAsia="ru-RU"/>
        </w:rPr>
        <w:outlineLvl w:val="0"/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4"/>
          <w:szCs w:val="24"/>
          <w:lang w:eastAsia="ru-RU"/>
        </w:rPr>
        <w:outlineLvl w:val="0"/>
      </w:pPr>
      <w:r>
        <w:rPr>
          <w:rFonts w:ascii="Arial" w:hAnsi="Arial" w:eastAsia="Times New Roman" w:cs="Arial"/>
          <w:b/>
          <w:sz w:val="24"/>
          <w:szCs w:val="24"/>
          <w:lang w:eastAsia="ru-RU"/>
        </w:rPr>
        <w:t xml:space="preserve">ГУБКИНСКИЙ ГОРОДСКОЙ ОКРУГ</w:t>
      </w:r>
      <w:r>
        <w:rPr>
          <w:rFonts w:ascii="Arial" w:hAnsi="Arial" w:eastAsia="Times New Roman" w:cs="Arial"/>
          <w:b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sz w:val="24"/>
          <w:szCs w:val="24"/>
          <w:lang w:eastAsia="ru-RU"/>
        </w:rPr>
        <w:t xml:space="preserve">БЕЛГОРОДСКОЙ ОБЛАСТИ</w:t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sz w:val="24"/>
          <w:szCs w:val="24"/>
          <w:lang w:eastAsia="ru-RU"/>
        </w:rPr>
      </w:r>
    </w:p>
    <w:p>
      <w:pPr>
        <w:ind w:right="-284"/>
        <w:jc w:val="center"/>
        <w:spacing w:after="0" w:line="240" w:lineRule="auto"/>
        <w:widowControl w:val="off"/>
        <w:rPr>
          <w:rFonts w:ascii="Arial Narrow" w:hAnsi="Arial Narrow" w:eastAsia="Times New Roman" w:cs="Arial"/>
          <w:b/>
          <w:sz w:val="36"/>
          <w:szCs w:val="36"/>
          <w:lang w:eastAsia="ru-RU"/>
        </w:rPr>
        <w:outlineLvl w:val="0"/>
      </w:pPr>
      <w:r>
        <w:rPr>
          <w:rFonts w:ascii="Arial Narrow" w:hAnsi="Arial Narrow" w:eastAsia="Times New Roman" w:cs="Arial"/>
          <w:b/>
          <w:sz w:val="32"/>
          <w:szCs w:val="32"/>
          <w:lang w:eastAsia="ru-RU"/>
        </w:rPr>
        <w:t xml:space="preserve">АДМИНИСТРАЦИЯ </w:t>
      </w:r>
      <w:r>
        <w:rPr>
          <w:rFonts w:ascii="Arial Narrow" w:hAnsi="Arial Narrow" w:eastAsia="Times New Roman" w:cs="Arial"/>
          <w:b/>
          <w:sz w:val="32"/>
          <w:szCs w:val="32"/>
          <w:lang w:eastAsia="ru-RU"/>
        </w:rPr>
        <w:t xml:space="preserve">ГУБКИНСКОГО ГОРОДСКОГО ОКРУГА</w:t>
      </w:r>
      <w:r>
        <w:rPr>
          <w:rFonts w:ascii="Arial Narrow" w:hAnsi="Arial Narrow" w:eastAsia="Times New Roman" w:cs="Arial"/>
          <w:b/>
          <w:sz w:val="36"/>
          <w:szCs w:val="36"/>
          <w:lang w:eastAsia="ru-RU"/>
        </w:rPr>
      </w:r>
      <w:r>
        <w:rPr>
          <w:rFonts w:ascii="Arial Narrow" w:hAnsi="Arial Narrow" w:eastAsia="Times New Roman" w:cs="Arial"/>
          <w:b/>
          <w:sz w:val="36"/>
          <w:szCs w:val="36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4"/>
          <w:szCs w:val="24"/>
          <w:lang w:eastAsia="ru-RU"/>
        </w:rPr>
        <w:outlineLvl w:val="0"/>
      </w:pPr>
      <w:r>
        <w:rPr>
          <w:rFonts w:ascii="Arial" w:hAnsi="Arial" w:eastAsia="Times New Roman" w:cs="Arial"/>
          <w:b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cs="Arial"/>
          <w:sz w:val="32"/>
          <w:szCs w:val="32"/>
        </w:rPr>
        <w:outlineLvl w:val="0"/>
      </w:pPr>
      <w:r>
        <w:rPr>
          <w:rFonts w:ascii="Arial" w:hAnsi="Arial" w:eastAsia="Arial" w:cs="Arial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17"/>
          <w:szCs w:val="17"/>
          <w:lang w:eastAsia="ru-RU"/>
        </w:rPr>
      </w:pPr>
      <w:r>
        <w:rPr>
          <w:rFonts w:ascii="Arial" w:hAnsi="Arial" w:eastAsia="Times New Roman" w:cs="Arial"/>
          <w:b/>
          <w:sz w:val="17"/>
          <w:szCs w:val="17"/>
          <w:lang w:eastAsia="ru-RU"/>
        </w:rPr>
        <w:t xml:space="preserve">Губкин</w:t>
      </w:r>
      <w:r>
        <w:rPr>
          <w:rFonts w:ascii="Arial" w:hAnsi="Arial" w:eastAsia="Times New Roman" w:cs="Arial"/>
          <w:b/>
          <w:sz w:val="17"/>
          <w:szCs w:val="17"/>
          <w:lang w:eastAsia="ru-RU"/>
        </w:rPr>
      </w:r>
      <w:r>
        <w:rPr>
          <w:rFonts w:ascii="Arial" w:hAnsi="Arial" w:eastAsia="Times New Roman" w:cs="Arial"/>
          <w:b/>
          <w:sz w:val="17"/>
          <w:szCs w:val="17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sz w:val="24"/>
          <w:szCs w:val="24"/>
          <w:lang w:eastAsia="ru-RU"/>
        </w:rPr>
      </w:r>
    </w:p>
    <w:p>
      <w:pPr>
        <w:spacing w:after="0"/>
        <w:tabs>
          <w:tab w:val="left" w:pos="709" w:leader="none"/>
        </w:tabs>
        <w:rPr>
          <w:rFonts w:ascii="Arial" w:hAnsi="Arial" w:cs="Arial"/>
          <w:b/>
          <w:sz w:val="18"/>
          <w:szCs w:val="18"/>
          <w:u w:val="single"/>
          <w:lang w:eastAsia="ar-SA"/>
        </w:rPr>
      </w:pPr>
      <w:r>
        <w:rPr>
          <w:rFonts w:ascii="Arial" w:hAnsi="Arial" w:cs="Arial"/>
          <w:b/>
          <w:sz w:val="18"/>
          <w:szCs w:val="18"/>
          <w:lang w:eastAsia="ar-SA"/>
        </w:rPr>
        <w:t xml:space="preserve">“       </w:t>
      </w:r>
      <w:bookmarkStart w:id="0" w:name="_GoBack"/>
      <w:r/>
      <w:bookmarkEnd w:id="0"/>
      <w:r>
        <w:rPr>
          <w:rFonts w:ascii="Arial" w:hAnsi="Arial" w:cs="Arial"/>
          <w:b/>
          <w:sz w:val="18"/>
          <w:szCs w:val="18"/>
          <w:lang w:eastAsia="ar-SA"/>
        </w:rPr>
        <w:t xml:space="preserve">" 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                       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202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4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г.    </w:t>
      </w:r>
      <w:r>
        <w:rPr>
          <w:rFonts w:ascii="Arial" w:hAnsi="Arial" w:cs="Arial"/>
          <w:b/>
          <w:sz w:val="18"/>
          <w:szCs w:val="18"/>
          <w:lang w:eastAsia="ar-SA"/>
        </w:rPr>
        <w:tab/>
        <w:t xml:space="preserve">                                                                              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                  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    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№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  </w:t>
      </w:r>
      <w:r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                   </w:t>
      </w:r>
      <w:r>
        <w:rPr>
          <w:rFonts w:ascii="Arial" w:hAnsi="Arial" w:cs="Arial"/>
          <w:b/>
          <w:sz w:val="18"/>
          <w:szCs w:val="18"/>
          <w:u w:val="single"/>
          <w:lang w:eastAsia="ar-SA"/>
        </w:rPr>
      </w:r>
      <w:r>
        <w:rPr>
          <w:rFonts w:ascii="Arial" w:hAnsi="Arial" w:cs="Arial"/>
          <w:b/>
          <w:sz w:val="18"/>
          <w:szCs w:val="18"/>
          <w:u w:val="single"/>
          <w:lang w:eastAsia="ar-SA"/>
        </w:rPr>
      </w:r>
    </w:p>
    <w:p>
      <w:pPr>
        <w:pStyle w:val="867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7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7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Губкинского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</w:t>
      </w:r>
      <w:r>
        <w:rPr>
          <w:rFonts w:ascii="Times New Roman" w:hAnsi="Times New Roman" w:cs="Times New Roman"/>
          <w:b/>
          <w:sz w:val="28"/>
          <w:szCs w:val="28"/>
        </w:rPr>
        <w:t xml:space="preserve">0</w:t>
      </w:r>
      <w:r>
        <w:rPr>
          <w:rFonts w:ascii="Times New Roman" w:hAnsi="Times New Roman" w:cs="Times New Roman"/>
          <w:b/>
          <w:sz w:val="28"/>
          <w:szCs w:val="28"/>
        </w:rPr>
        <w:t xml:space="preserve"> мая </w:t>
      </w:r>
      <w:r>
        <w:rPr>
          <w:rFonts w:ascii="Times New Roman" w:hAnsi="Times New Roman" w:cs="Times New Roman"/>
          <w:b/>
          <w:sz w:val="28"/>
          <w:szCs w:val="28"/>
        </w:rPr>
        <w:t xml:space="preserve">2016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877-па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contextualSpacing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ф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едеральными законами от 06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2003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ода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 131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ФЗ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13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2015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 29 мая 2023 года № 185-ФЗ «О внесении изменений в отдельные законодательные акты Российской Федерации»,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Устав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Губкинского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целях приведения муниципального правового акта в соответствие с действующим законодательством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администрация Губкинского городского округа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7"/>
        <w:contextualSpacing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ПОСТАНОВЛЯ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ЕТ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7"/>
        <w:contextualSpacing/>
        <w:ind w:firstLine="709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постановление администрации Губкинского городского округа от 10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мая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2016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№ 877-па «Об утверждении Положения об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организации транспортного обслуживания населения Губкинского городского округа» (в редакции постановлений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10.06.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2016 </w:t>
        <w:br/>
        <w:t xml:space="preserve">№ 1155-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па,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29.12.2016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№ 2785-па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06.02.2020 № 128-па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от 17.09.2021 </w:t>
        <w:br/>
        <w:t xml:space="preserve">№ 1402-па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 от 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.2023 № 779-па, от 26.03.2024 № 367-па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7"/>
        <w:contextualSpacing/>
        <w:ind w:left="0" w:firstLine="709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оложени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 об организации транспортного обслуживания населения Губкинского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(далее - Положение)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утвержденное  вышеуказанным  постановлением: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contextualSpacing/>
        <w:ind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color w:val="353535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а) подпункт 2.2.2.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раздела 2 «Организация регулярных перевозок»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дополнить абзацем следующего содержания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color w:val="353535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353535"/>
          <w:sz w:val="28"/>
          <w:szCs w:val="28"/>
          <w:highlight w:val="white"/>
        </w:rPr>
      </w:r>
    </w:p>
    <w:p>
      <w:pPr>
        <w:pStyle w:val="867"/>
        <w:contextualSpacing/>
        <w:ind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случае утраты карты маршрута регулярных перевозок либо ее порчи выдает дубликат карты маршрута регулярных перевозок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»;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7"/>
        <w:contextualSpacing/>
        <w:ind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б) подпункт 2.2.5.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раздела 2 «Организация регулярных перевозок»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дополнить абзацем следующего содержания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7"/>
        <w:contextualSpacing/>
        <w:ind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случае утраты свидетельства об осуществлении перевозок 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муниципальн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ым маршрутам регулярных перевозок пассажиров и багажа автомобильным транспортом по нерегулируемым тарифам и карты маршрута регулярных перевозок либо их порчи выдает дубликат  указанного свидетельства или дубликат карты маршрута регулярных перевозок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.»;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в) второй абзац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пункта 4.10. раздела 4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«Порядок установления, изменения, отмены муниципальных маршрутов регулярных перевозок»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Муниципальный маршрут считается отмененным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со дня внесения сведений об отмене маршрута в реестр муниципальных маршрутов регулярных перевозок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.»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1241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г)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 раздел 4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«Порядок установления, изменения, отмены муниципальных маршрутов регулярных перевозок»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дополнить пунктами  4.12.- 4.15. следующего содержания: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4.12.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Если в соответствии с законодательством Российской Федерации законом или иным нормативным правовым актом Белгородской области установлены меры по обеспечению санитарно-эпидемиологического благополучия населения, предусматривающие ограничение перед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вижения населения и (или) транспортных средств,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юридическое лицо, индивидуальный предприниматель,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которым выдано свидетельство об осуществлении перевозок по маршруту регулярных перевозок,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период действия этих мер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hyperlink r:id="rId11" w:tooltip="https://www.consultant.ru/document/cons_doc_LAW_432567/#dst100009" w:history="1"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вправе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принять решение об изменении такого маршрута на срок,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не превышающий тридцати дней, в части использования транспортных средств меньшего класса, транспортных средств с иными характеристиками,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чем установленные в соответствии с </w:t>
      </w:r>
      <w:hyperlink r:id="rId12" w:tooltip="https://www.consultant.ru/document/cons_doc_LAW_456504/7845593e7e3a21a88298a0206945213ba1498431/#dst406" w:history="1"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пунктами 12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</w:t>
      </w:r>
      <w:hyperlink r:id="rId13" w:tooltip="https://www.consultant.ru/document/cons_doc_LAW_456504/7845593e7e3a21a88298a0206945213ba1498431/#dst407" w:history="1"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 13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hyperlink r:id="rId14" w:tooltip="https://www.consultant.ru/document/cons_doc_LAW_456504/7845593e7e3a21a88298a0206945213ba1498431/#dst407" w:history="1">
        <w:r>
          <w:rPr>
            <w:rStyle w:val="844"/>
            <w:rFonts w:ascii="Times New Roman" w:hAnsi="Times New Roman" w:eastAsia="Times New Roman" w:cs="Times New Roman"/>
            <w:color w:val="ff9900"/>
            <w:sz w:val="28"/>
            <w:szCs w:val="28"/>
            <w:highlight w:val="white"/>
            <w:u w:val="none"/>
          </w:rPr>
          <w:t xml:space="preserve"> </w:t>
        </w:r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части 1 статьи </w:t>
        </w:r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26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Федерального закона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13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2015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сокращения количества выполняемых рейсов.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40" w:lineRule="auto"/>
        <w:shd w:val="clear" w:color="ffffff" w:fill="ffff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Изменение маршрута регулярных перевозок на срок, превышающий тридцать дней, осуществляется в порядке, установленном </w:t>
        <w:br/>
      </w:r>
      <w:hyperlink r:id="rId15" w:tooltip="https://www.consultant.ru/document/cons_doc_LAW_456504/6417643f7f68c2c0cca48adb44f6b04f2bb5119d/#dst48" w:history="1"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статьей </w:t>
        </w:r>
      </w:hyperlink>
      <w:r>
        <w:rPr>
          <w:color w:val="000000" w:themeColor="text1"/>
          <w:sz w:val="28"/>
          <w:szCs w:val="28"/>
          <w:u w:val="none"/>
        </w:rPr>
      </w:r>
      <w:hyperlink r:id="rId16" w:tooltip="https://www.consultant.ru/document/cons_doc_LAW_456504/dd971416e9e4520d9f43654e174d68a909ebe879/#dst100120" w:history="1"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12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Федерального закона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от 13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июля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2015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1241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4.13.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случае возникновения чрезвычайной ситуации или принятия мер по обеспечению санитарно-эпидемиологического благополучия населения, повлекших прекращение функционирования автовокзалов, автостанций, временное ограничение движения транспортных средств по авто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мобильным дорогам или размещенным на них искусственным дорожным сооружениям,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юридическое лицо, индивидуальный предприниматель,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которым выдано свидетельство об осуществлении перевозок по маршруту регулярных перевозок,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период действия этих мер вправе изменить такой маршрут для объез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да закрытых автомобильных дорог, размещенных на них искусственных дорожных сооружений, автовокзалов, автостанций на срок, не превышающий тридцати дней.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1241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Изменение маршрута регулярных перевозок на срок, превышающий тридцать дней, осуществляется в порядке, установленном </w:t>
        <w:br/>
      </w:r>
      <w:hyperlink r:id="rId17" w:tooltip="https://www.consultant.ru/document/cons_doc_LAW_456504/6417643f7f68c2c0cca48adb44f6b04f2bb5119d/#dst48" w:history="1"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статьей </w:t>
        </w:r>
      </w:hyperlink>
      <w:r>
        <w:rPr>
          <w:color w:val="000000" w:themeColor="text1"/>
          <w:sz w:val="28"/>
          <w:szCs w:val="28"/>
          <w:u w:val="none"/>
        </w:rPr>
      </w:r>
      <w:hyperlink r:id="rId18" w:tooltip="https://www.consultant.ru/document/cons_doc_LAW_456504/dd971416e9e4520d9f43654e174d68a909ebe879/#dst100120" w:history="1"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12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Федерального закона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от 13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июля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2015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1241" w:leader="none"/>
        </w:tabs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4.14.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ридическое лицо, индивидуальный предприниматель,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принявшие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соответствии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 пунктами 4.12. или 4.13. настоящего Положения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решение об изменении маршрута регулярных перевозок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обязаны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день принятия так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ого решения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направить соответствующее уведомление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администрацию Губкинского городского округа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владельцам остановочных пунктов, включенных в состав данного маршрута, любым из способов, указанных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</w:t>
      </w:r>
      <w:hyperlink r:id="rId19" w:tooltip="https://www.consultant.ru/document/cons_doc_LAW_456504/e79d6710c85cbbec60958b262ef9884bb3c91d48/#dst193" w:history="1"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унктах 1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u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1</w:t>
      </w:r>
      <w:hyperlink r:id="rId20" w:tooltip="https://www.consultant.ru/document/cons_doc_LAW_456504/e79d6710c85cbbec60958b262ef9884bb3c91d48/#dst308" w:history="1"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.1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u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2</w:t>
      </w:r>
      <w:hyperlink r:id="rId21" w:tooltip="https://www.consultant.ru/document/cons_doc_LAW_456504/e79d6710c85cbbec60958b262ef9884bb3c91d48/#dst194" w:history="1"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 части 1 статьи 3.9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Федерального закона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от 13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июля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2015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Указанные владельцы в срок, не превышающий трех дней со дня получения этого уведомления, обязаны организовать размещение в остановочных пунктах информации о соответствующем изменении маршрута регулярных перевозок, а также об основаниях для принятия такого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решения.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1241" w:leader="none"/>
        </w:tabs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4.15.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Изменение маршрута регулярных перевозок по решению юридического лица, индивидуального предпринимателя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 основаниям,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порядке и сроки, которые предусмотрены пунктами 4.12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- 4.14. настоящего Положения осуществляется не более одного раза в течение ста восьмидесяти последовательных дней.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867"/>
        <w:contextualSpacing/>
        <w:ind w:firstLine="709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д)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наименование 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Изменение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вида регулярных перевозок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pStyle w:val="867"/>
        <w:contextualSpacing/>
        <w:ind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5. Изменение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вида регулярных перевозок,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вида маршрута регулярных перевозок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7"/>
        <w:contextualSpacing/>
        <w:ind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е) раздел 5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Изменение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вида регулярных перевозок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дополнить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пунктами 5.5., 5.6.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следующего содержания: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pStyle w:val="867"/>
        <w:contextualSpacing/>
        <w:ind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«5.5.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Вид маршрута регулярных перевозок изменяется в случае вступления в силу нормативного правового акта, предусматривающего изменение границ Белгородской области, Губкинского городского округа, влекуще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е изменение вида маршрута регулярных перевозок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7"/>
        <w:contextualSpacing/>
        <w:ind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5.6. Сведения о маршруте, вид которого изменяется,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предусмотренные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hyperlink r:id="rId22" w:tooltip="https://www.consultant.ru/document/cons_doc_LAW_456504/7845593e7e3a21a88298a0206945213ba1498431/#dst335" w:history="1">
        <w:r>
          <w:rPr>
            <w:rStyle w:val="84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пунктами 3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u w:val="none"/>
        </w:rPr>
        <w:t xml:space="preserve">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u w:val="none"/>
        </w:rPr>
        <w:t xml:space="preserve">-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u w:val="none"/>
        </w:rPr>
        <w:t xml:space="preserve"> </w:t>
      </w:r>
      <w:hyperlink r:id="rId23" w:tooltip="https://www.consultant.ru/document/cons_doc_LAW_456504/7845593e7e3a21a88298a0206945213ba1498431/#dst412" w:history="1">
        <w:r>
          <w:rPr>
            <w:rStyle w:val="84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18 части 1 статьи 26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Федерального закона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br/>
        <w:t xml:space="preserve">от 13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июля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2015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ода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переносятся из реестра маршрутов регулярных перевозок, который содержит эти сведения, в реестр маршрутов регулярных перевозок, в который они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должны быть включены в соответствии с измененным видом маршрута, в порядке, согласованном между уполномоченным исполнительным органом Белгородской области, администрацией Губкинского городского округа, к компетенции которых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отнесено ведение реестров маршрутов регулярных перевозок соответствующих видов.». 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874"/>
        <w:ind w:left="0" w:firstLine="709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color w:val="auto"/>
          <w:sz w:val="28"/>
          <w:szCs w:val="28"/>
        </w:rPr>
        <w:outlineLvl w:val="1"/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. Опубликовать постановление в средствах массовой информации.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867"/>
        <w:ind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Контроль за исполнени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ем постановления возложить на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аместителя главы администрации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по комплексному развитию сельских территорий и агропромышленному производству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Никулова А.С.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867"/>
        <w:ind w:firstLine="708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лав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Губкинского городского округа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М.А. </w:t>
      </w:r>
      <w:r>
        <w:rPr>
          <w:rFonts w:ascii="Times New Roman" w:hAnsi="Times New Roman" w:cs="Times New Roman"/>
          <w:b/>
          <w:sz w:val="28"/>
          <w:szCs w:val="28"/>
        </w:rPr>
        <w:t xml:space="preserve">Лобазнов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4"/>
          <w:lang w:eastAsia="ru-RU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701" w:header="425" w:footer="414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tbl>
      <w:tblPr>
        <w:tblW w:w="9498" w:type="dxa"/>
        <w:tblInd w:w="-176" w:type="dxa"/>
        <w:tblLook w:val="01E0" w:firstRow="1" w:lastRow="1" w:firstColumn="1" w:lastColumn="1" w:noHBand="0" w:noVBand="0"/>
      </w:tblPr>
      <w:tblGrid>
        <w:gridCol w:w="5920"/>
        <w:gridCol w:w="1109"/>
        <w:gridCol w:w="2469"/>
      </w:tblGrid>
      <w:tr>
        <w:tblPrEx/>
        <w:trPr/>
        <w:tc>
          <w:tcPr>
            <w:tcW w:w="5920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Подготовлено: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46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920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транспорта, связи и телекоммуникаций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469" w:type="dxa"/>
            <w:textDirection w:val="lrTb"/>
            <w:noWrap w:val="false"/>
          </w:tcPr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Калачев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920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469" w:type="dxa"/>
            <w:textDirection w:val="lrTb"/>
            <w:noWrap w:val="false"/>
          </w:tcPr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920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469" w:type="dxa"/>
            <w:textDirection w:val="lrTb"/>
            <w:noWrap w:val="false"/>
          </w:tcPr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920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469" w:type="dxa"/>
            <w:textDirection w:val="lrTb"/>
            <w:noWrap w:val="false"/>
          </w:tcPr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920" w:type="dxa"/>
            <w:textDirection w:val="lrTb"/>
            <w:noWrap w:val="false"/>
          </w:tcPr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аппарата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469" w:type="dxa"/>
            <w:textDirection w:val="lrTb"/>
            <w:noWrap w:val="false"/>
          </w:tcPr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920" w:type="dxa"/>
            <w:textDirection w:val="lrTb"/>
            <w:noWrap w:val="false"/>
          </w:tcPr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469" w:type="dxa"/>
            <w:textDirection w:val="lrTb"/>
            <w:noWrap w:val="false"/>
          </w:tcPr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920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главы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469" w:type="dxa"/>
            <w:textDirection w:val="lrTb"/>
            <w:noWrap w:val="false"/>
          </w:tcPr>
          <w:p>
            <w:pPr>
              <w:pStyle w:val="8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А.С. Никулов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920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46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920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Правовое управление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46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920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46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920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делопроизводства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документооборота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469" w:type="dxa"/>
            <w:textDirection w:val="lrTb"/>
            <w:noWrap w:val="false"/>
          </w:tcPr>
          <w:p>
            <w:pPr>
              <w:pStyle w:val="8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8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7"/>
        <w:jc w:val="both"/>
      </w:pPr>
      <w:r/>
      <w:r/>
    </w:p>
    <w:sectPr>
      <w:footnotePr/>
      <w:endnotePr/>
      <w:type w:val="nextPage"/>
      <w:pgSz w:w="11906" w:h="16838" w:orient="portrait"/>
      <w:pgMar w:top="828" w:right="707" w:bottom="851" w:left="1560" w:header="426" w:footer="415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52492000"/>
      <w:docPartObj>
        <w:docPartGallery w:val="Page Numbers (Top of Page)"/>
        <w:docPartUnique w:val="true"/>
      </w:docPartObj>
      <w:rPr/>
    </w:sdtPr>
    <w:sdtContent>
      <w:p>
        <w:pPr>
          <w:pStyle w:val="87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862"/>
    <w:next w:val="862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9">
    <w:name w:val="Heading 1 Char"/>
    <w:basedOn w:val="864"/>
    <w:link w:val="688"/>
    <w:uiPriority w:val="9"/>
    <w:rPr>
      <w:rFonts w:ascii="Arial" w:hAnsi="Arial" w:eastAsia="Arial" w:cs="Arial"/>
      <w:sz w:val="40"/>
      <w:szCs w:val="40"/>
    </w:rPr>
  </w:style>
  <w:style w:type="character" w:styleId="690">
    <w:name w:val="Heading 2 Char"/>
    <w:basedOn w:val="864"/>
    <w:link w:val="863"/>
    <w:uiPriority w:val="9"/>
    <w:rPr>
      <w:rFonts w:ascii="Arial" w:hAnsi="Arial" w:eastAsia="Arial" w:cs="Arial"/>
      <w:sz w:val="34"/>
    </w:rPr>
  </w:style>
  <w:style w:type="paragraph" w:styleId="691">
    <w:name w:val="Heading 3"/>
    <w:basedOn w:val="862"/>
    <w:next w:val="862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2">
    <w:name w:val="Heading 3 Char"/>
    <w:basedOn w:val="864"/>
    <w:link w:val="691"/>
    <w:uiPriority w:val="9"/>
    <w:rPr>
      <w:rFonts w:ascii="Arial" w:hAnsi="Arial" w:eastAsia="Arial" w:cs="Arial"/>
      <w:sz w:val="30"/>
      <w:szCs w:val="30"/>
    </w:rPr>
  </w:style>
  <w:style w:type="paragraph" w:styleId="693">
    <w:name w:val="Heading 4"/>
    <w:basedOn w:val="862"/>
    <w:next w:val="862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4">
    <w:name w:val="Heading 4 Char"/>
    <w:basedOn w:val="864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862"/>
    <w:next w:val="862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basedOn w:val="864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862"/>
    <w:next w:val="862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basedOn w:val="864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862"/>
    <w:next w:val="862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basedOn w:val="864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62"/>
    <w:next w:val="862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basedOn w:val="864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862"/>
    <w:next w:val="862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basedOn w:val="86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basedOn w:val="862"/>
    <w:uiPriority w:val="34"/>
    <w:qFormat/>
    <w:pPr>
      <w:contextualSpacing/>
      <w:ind w:left="720"/>
    </w:pPr>
  </w:style>
  <w:style w:type="paragraph" w:styleId="706">
    <w:name w:val="Title"/>
    <w:basedOn w:val="862"/>
    <w:next w:val="862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basedOn w:val="864"/>
    <w:link w:val="706"/>
    <w:uiPriority w:val="10"/>
    <w:rPr>
      <w:sz w:val="48"/>
      <w:szCs w:val="48"/>
    </w:rPr>
  </w:style>
  <w:style w:type="paragraph" w:styleId="708">
    <w:name w:val="Subtitle"/>
    <w:basedOn w:val="862"/>
    <w:next w:val="862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basedOn w:val="864"/>
    <w:link w:val="708"/>
    <w:uiPriority w:val="11"/>
    <w:rPr>
      <w:sz w:val="24"/>
      <w:szCs w:val="24"/>
    </w:rPr>
  </w:style>
  <w:style w:type="paragraph" w:styleId="710">
    <w:name w:val="Quote"/>
    <w:basedOn w:val="862"/>
    <w:next w:val="862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2"/>
    <w:next w:val="862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character" w:styleId="714">
    <w:name w:val="Header Char"/>
    <w:basedOn w:val="864"/>
    <w:link w:val="870"/>
    <w:uiPriority w:val="99"/>
  </w:style>
  <w:style w:type="character" w:styleId="715">
    <w:name w:val="Footer Char"/>
    <w:basedOn w:val="864"/>
    <w:link w:val="872"/>
    <w:uiPriority w:val="99"/>
  </w:style>
  <w:style w:type="paragraph" w:styleId="716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872"/>
    <w:uiPriority w:val="99"/>
  </w:style>
  <w:style w:type="table" w:styleId="718">
    <w:name w:val="Table Grid"/>
    <w:basedOn w:val="8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4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4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</w:style>
  <w:style w:type="paragraph" w:styleId="863">
    <w:name w:val="Heading 2"/>
    <w:basedOn w:val="862"/>
    <w:next w:val="862"/>
    <w:link w:val="875"/>
    <w:uiPriority w:val="9"/>
    <w:semiHidden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paragraph" w:styleId="867">
    <w:name w:val="No Spacing"/>
    <w:uiPriority w:val="1"/>
    <w:qFormat/>
    <w:pPr>
      <w:spacing w:after="0" w:line="240" w:lineRule="auto"/>
    </w:pPr>
  </w:style>
  <w:style w:type="paragraph" w:styleId="868">
    <w:name w:val="Balloon Text"/>
    <w:basedOn w:val="862"/>
    <w:link w:val="86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basedOn w:val="864"/>
    <w:link w:val="868"/>
    <w:uiPriority w:val="99"/>
    <w:semiHidden/>
    <w:rPr>
      <w:rFonts w:ascii="Tahoma" w:hAnsi="Tahoma" w:cs="Tahoma"/>
      <w:sz w:val="16"/>
      <w:szCs w:val="16"/>
    </w:rPr>
  </w:style>
  <w:style w:type="paragraph" w:styleId="870">
    <w:name w:val="Header"/>
    <w:basedOn w:val="862"/>
    <w:link w:val="8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basedOn w:val="864"/>
    <w:link w:val="870"/>
    <w:uiPriority w:val="99"/>
  </w:style>
  <w:style w:type="paragraph" w:styleId="872">
    <w:name w:val="Footer"/>
    <w:basedOn w:val="862"/>
    <w:link w:val="8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3" w:customStyle="1">
    <w:name w:val="Нижний колонтитул Знак"/>
    <w:basedOn w:val="864"/>
    <w:link w:val="872"/>
    <w:uiPriority w:val="99"/>
  </w:style>
  <w:style w:type="paragraph" w:styleId="874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character" w:styleId="875" w:customStyle="1">
    <w:name w:val="Заголовок 2 Знак"/>
    <w:basedOn w:val="864"/>
    <w:link w:val="863"/>
    <w:uiPriority w:val="9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www.consultant.ru/document/cons_doc_LAW_432567/#dst100009" TargetMode="External"/><Relationship Id="rId12" Type="http://schemas.openxmlformats.org/officeDocument/2006/relationships/hyperlink" Target="https://www.consultant.ru/document/cons_doc_LAW_456504/7845593e7e3a21a88298a0206945213ba1498431/#dst406" TargetMode="External"/><Relationship Id="rId13" Type="http://schemas.openxmlformats.org/officeDocument/2006/relationships/hyperlink" Target="https://www.consultant.ru/document/cons_doc_LAW_456504/7845593e7e3a21a88298a0206945213ba1498431/#dst407" TargetMode="External"/><Relationship Id="rId14" Type="http://schemas.openxmlformats.org/officeDocument/2006/relationships/hyperlink" Target="https://www.consultant.ru/document/cons_doc_LAW_456504/7845593e7e3a21a88298a0206945213ba1498431/#dst407" TargetMode="External"/><Relationship Id="rId15" Type="http://schemas.openxmlformats.org/officeDocument/2006/relationships/hyperlink" Target="https://www.consultant.ru/document/cons_doc_LAW_456504/6417643f7f68c2c0cca48adb44f6b04f2bb5119d/#dst48" TargetMode="External"/><Relationship Id="rId16" Type="http://schemas.openxmlformats.org/officeDocument/2006/relationships/hyperlink" Target="https://www.consultant.ru/document/cons_doc_LAW_456504/dd971416e9e4520d9f43654e174d68a909ebe879/#dst100120" TargetMode="External"/><Relationship Id="rId17" Type="http://schemas.openxmlformats.org/officeDocument/2006/relationships/hyperlink" Target="https://www.consultant.ru/document/cons_doc_LAW_456504/6417643f7f68c2c0cca48adb44f6b04f2bb5119d/#dst48" TargetMode="External"/><Relationship Id="rId18" Type="http://schemas.openxmlformats.org/officeDocument/2006/relationships/hyperlink" Target="https://www.consultant.ru/document/cons_doc_LAW_456504/dd971416e9e4520d9f43654e174d68a909ebe879/#dst100120" TargetMode="External"/><Relationship Id="rId19" Type="http://schemas.openxmlformats.org/officeDocument/2006/relationships/hyperlink" Target="https://www.consultant.ru/document/cons_doc_LAW_456504/e79d6710c85cbbec60958b262ef9884bb3c91d48/#dst193" TargetMode="External"/><Relationship Id="rId20" Type="http://schemas.openxmlformats.org/officeDocument/2006/relationships/hyperlink" Target="https://www.consultant.ru/document/cons_doc_LAW_456504/e79d6710c85cbbec60958b262ef9884bb3c91d48/#dst308" TargetMode="External"/><Relationship Id="rId21" Type="http://schemas.openxmlformats.org/officeDocument/2006/relationships/hyperlink" Target="https://www.consultant.ru/document/cons_doc_LAW_456504/e79d6710c85cbbec60958b262ef9884bb3c91d48/#dst194" TargetMode="External"/><Relationship Id="rId22" Type="http://schemas.openxmlformats.org/officeDocument/2006/relationships/hyperlink" Target="https://www.consultant.ru/document/cons_doc_LAW_456504/7845593e7e3a21a88298a0206945213ba1498431/#dst335" TargetMode="External"/><Relationship Id="rId23" Type="http://schemas.openxmlformats.org/officeDocument/2006/relationships/hyperlink" Target="https://www.consultant.ru/document/cons_doc_LAW_456504/7845593e7e3a21a88298a0206945213ba1498431/#dst41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1C6F5-2D31-4FDF-A833-55B51A17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51</cp:revision>
  <dcterms:created xsi:type="dcterms:W3CDTF">2024-03-11T08:53:00Z</dcterms:created>
  <dcterms:modified xsi:type="dcterms:W3CDTF">2024-11-25T14:41:49Z</dcterms:modified>
</cp:coreProperties>
</file>