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8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Обоснование </w:t>
      </w:r>
      <w:r/>
    </w:p>
    <w:p>
      <w:pPr>
        <w:pStyle w:val="648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</w:t>
      </w:r>
      <w:r>
        <w:rPr>
          <w:b/>
          <w:color w:val="000000"/>
          <w:sz w:val="27"/>
          <w:szCs w:val="27"/>
        </w:rPr>
        <w:t xml:space="preserve">муниципального </w:t>
      </w:r>
      <w:r>
        <w:rPr>
          <w:b/>
          <w:color w:val="000000"/>
          <w:sz w:val="27"/>
          <w:szCs w:val="27"/>
        </w:rPr>
        <w:t xml:space="preserve">нормативного правового акта, </w:t>
      </w:r>
      <w:r>
        <w:rPr>
          <w:b/>
          <w:color w:val="000000"/>
          <w:sz w:val="27"/>
          <w:szCs w:val="27"/>
        </w:rPr>
      </w:r>
      <w:r/>
    </w:p>
    <w:p>
      <w:pPr>
        <w:pStyle w:val="648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 том числе их влияния на конкуренцию </w:t>
      </w:r>
      <w:r/>
    </w:p>
    <w:p>
      <w:pPr>
        <w:pStyle w:val="648"/>
        <w:jc w:val="center"/>
        <w:rPr>
          <w:b/>
          <w:color w:val="000000"/>
          <w:sz w:val="26"/>
          <w:szCs w:val="26"/>
          <w:highlight w:val="yellow"/>
        </w:rPr>
      </w:pPr>
      <w:r>
        <w:rPr>
          <w:b/>
          <w:color w:val="000000"/>
          <w:sz w:val="26"/>
          <w:szCs w:val="26"/>
          <w:highlight w:val="yellow"/>
        </w:rPr>
      </w:r>
      <w:r/>
    </w:p>
    <w:tbl>
      <w:tblPr>
        <w:tblW w:w="0" w:type="auto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030"/>
      </w:tblGrid>
      <w:tr>
        <w:trPr/>
        <w:tc>
          <w:tcPr>
            <w:tcW w:w="10030" w:type="dxa"/>
            <w:vAlign w:val="top"/>
            <w:textDirection w:val="lrTb"/>
            <w:noWrap w:val="false"/>
          </w:tcPr>
          <w:p>
            <w:pPr>
              <w:pStyle w:val="648"/>
              <w:jc w:val="center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администраци</w:t>
            </w:r>
            <w:r>
              <w:rPr>
                <w:sz w:val="24"/>
                <w:szCs w:val="24"/>
              </w:rPr>
              <w:t xml:space="preserve">и Губкинского городского округа</w:t>
            </w:r>
            <w:r/>
          </w:p>
          <w:p>
            <w:pPr>
              <w:pStyle w:val="648"/>
              <w:jc w:val="center"/>
              <w:spacing w:line="280" w:lineRule="exac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  <w:u w:val="single"/>
              </w:rPr>
              <w:t xml:space="preserve">О внесении изм</w:t>
            </w:r>
            <w:r>
              <w:rPr>
                <w:b/>
                <w:sz w:val="24"/>
                <w:szCs w:val="24"/>
                <w:u w:val="single"/>
              </w:rPr>
              <w:t xml:space="preserve">е</w:t>
            </w:r>
            <w:r>
              <w:rPr>
                <w:b/>
                <w:sz w:val="24"/>
                <w:szCs w:val="24"/>
                <w:u w:val="single"/>
              </w:rPr>
              <w:t xml:space="preserve">нени</w:t>
            </w:r>
            <w:r>
              <w:rPr>
                <w:b/>
                <w:sz w:val="24"/>
                <w:szCs w:val="24"/>
                <w:u w:val="single"/>
              </w:rPr>
              <w:t xml:space="preserve">я</w:t>
            </w:r>
            <w:r>
              <w:rPr>
                <w:b/>
                <w:sz w:val="24"/>
                <w:szCs w:val="24"/>
                <w:u w:val="single"/>
              </w:rPr>
              <w:t xml:space="preserve"> в постановление администрации Губкинского городского округа</w:t>
            </w:r>
            <w:r>
              <w:rPr>
                <w:b/>
                <w:sz w:val="24"/>
                <w:szCs w:val="24"/>
                <w:u w:val="single"/>
              </w:rPr>
            </w:r>
            <w:r/>
          </w:p>
          <w:p>
            <w:pPr>
              <w:pStyle w:val="648"/>
              <w:jc w:val="center"/>
              <w:spacing w:line="280" w:lineRule="exac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от </w:t>
            </w:r>
            <w:r>
              <w:rPr>
                <w:b/>
                <w:sz w:val="24"/>
                <w:szCs w:val="24"/>
                <w:u w:val="single"/>
              </w:rPr>
              <w:t xml:space="preserve">23</w:t>
            </w:r>
            <w:r>
              <w:rPr>
                <w:b/>
                <w:sz w:val="24"/>
                <w:szCs w:val="24"/>
                <w:u w:val="single"/>
              </w:rPr>
              <w:t xml:space="preserve"> ноября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20</w:t>
            </w:r>
            <w:r>
              <w:rPr>
                <w:b/>
                <w:sz w:val="24"/>
                <w:szCs w:val="24"/>
                <w:u w:val="single"/>
              </w:rPr>
              <w:t xml:space="preserve">2</w:t>
            </w:r>
            <w:r>
              <w:rPr>
                <w:b/>
                <w:sz w:val="24"/>
                <w:szCs w:val="24"/>
                <w:u w:val="single"/>
              </w:rPr>
              <w:t xml:space="preserve">1</w:t>
            </w:r>
            <w:r>
              <w:rPr>
                <w:b/>
                <w:sz w:val="24"/>
                <w:szCs w:val="24"/>
                <w:u w:val="single"/>
              </w:rPr>
              <w:t xml:space="preserve"> года № </w:t>
            </w:r>
            <w:r>
              <w:rPr>
                <w:b/>
                <w:sz w:val="24"/>
                <w:szCs w:val="24"/>
                <w:u w:val="single"/>
              </w:rPr>
              <w:t xml:space="preserve">1994</w:t>
            </w:r>
            <w:r>
              <w:rPr>
                <w:b/>
                <w:sz w:val="24"/>
                <w:szCs w:val="24"/>
                <w:u w:val="single"/>
              </w:rPr>
              <w:t xml:space="preserve">-па</w:t>
            </w:r>
            <w:r>
              <w:rPr>
                <w:b/>
                <w:sz w:val="24"/>
                <w:szCs w:val="24"/>
                <w:u w:val="single"/>
              </w:rPr>
              <w:t xml:space="preserve">»</w:t>
            </w:r>
            <w:r/>
          </w:p>
          <w:p>
            <w:pPr>
              <w:pStyle w:val="648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(наименование проекта </w:t>
            </w:r>
            <w:r>
              <w:rPr>
                <w:i/>
                <w:color w:val="000000"/>
              </w:rPr>
              <w:t xml:space="preserve">муниципального </w:t>
            </w:r>
            <w:r>
              <w:rPr>
                <w:i/>
                <w:color w:val="000000"/>
              </w:rPr>
              <w:t xml:space="preserve">нормативного правового акта </w:t>
            </w:r>
            <w:r>
              <w:rPr>
                <w:i/>
                <w:color w:val="000000"/>
              </w:rPr>
            </w:r>
            <w:r/>
          </w:p>
          <w:p>
            <w:pPr>
              <w:pStyle w:val="648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администрации Губкинского городского округа</w:t>
            </w:r>
            <w:r>
              <w:rPr>
                <w:i/>
                <w:color w:val="000000"/>
              </w:rPr>
              <w:t xml:space="preserve">)</w:t>
            </w:r>
            <w:r/>
          </w:p>
          <w:p>
            <w:pPr>
              <w:pStyle w:val="648"/>
              <w:jc w:val="center"/>
              <w:rPr>
                <w:b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</w:rPr>
              <w:t xml:space="preserve">Архивный отдел комитета правового обеспечения деятельности администрации</w:t>
            </w:r>
            <w:r>
              <w:rPr>
                <w:b/>
                <w:sz w:val="24"/>
                <w:szCs w:val="24"/>
              </w:rPr>
              <w:t xml:space="preserve">»</w:t>
            </w:r>
            <w:r>
              <w:rPr>
                <w:b/>
                <w:sz w:val="24"/>
                <w:szCs w:val="24"/>
              </w:rPr>
            </w:r>
            <w:r/>
          </w:p>
          <w:p>
            <w:pPr>
              <w:pStyle w:val="648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</w:t>
            </w:r>
            <w:r>
              <w:rPr>
                <w:i/>
                <w:color w:val="000000"/>
              </w:rPr>
              <w:t xml:space="preserve">структурного подразделения администрации Губки</w:t>
            </w:r>
            <w:r>
              <w:rPr>
                <w:i/>
                <w:color w:val="000000"/>
              </w:rPr>
              <w:t xml:space="preserve">н</w:t>
            </w:r>
            <w:r>
              <w:rPr>
                <w:i/>
                <w:color w:val="000000"/>
              </w:rPr>
              <w:t xml:space="preserve">ского городского округа</w:t>
            </w:r>
            <w:r>
              <w:rPr>
                <w:i/>
                <w:color w:val="000000"/>
              </w:rPr>
              <w:t xml:space="preserve">, </w:t>
            </w:r>
            <w:r>
              <w:rPr>
                <w:i/>
                <w:color w:val="000000"/>
              </w:rPr>
            </w:r>
            <w:r/>
          </w:p>
          <w:p>
            <w:pPr>
              <w:pStyle w:val="648"/>
              <w:jc w:val="center"/>
            </w:pPr>
            <w:r>
              <w:rPr>
                <w:i/>
                <w:color w:val="000000"/>
              </w:rPr>
              <w:t xml:space="preserve">подготовившего данный проект</w:t>
            </w:r>
            <w:r>
              <w:rPr>
                <w:i/>
                <w:color w:val="000000"/>
              </w:rPr>
              <w:t xml:space="preserve"> муниципального</w:t>
            </w:r>
            <w:r>
              <w:rPr>
                <w:i/>
                <w:color w:val="000000"/>
              </w:rPr>
              <w:t xml:space="preserve"> нормативного правового акта)</w:t>
            </w:r>
            <w:r/>
          </w:p>
        </w:tc>
      </w:tr>
      <w:tr>
        <w:trPr/>
        <w:tc>
          <w:tcPr>
            <w:tcW w:w="10030" w:type="dxa"/>
            <w:vAlign w:val="top"/>
            <w:textDirection w:val="lrTb"/>
            <w:noWrap w:val="false"/>
          </w:tcPr>
          <w:p>
            <w:pPr>
              <w:pStyle w:val="648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(основания, концепция, цели, задачи, последствия пр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нятия):</w:t>
            </w:r>
            <w:r>
              <w:rPr>
                <w:rStyle w:val="668"/>
                <w:sz w:val="28"/>
                <w:szCs w:val="28"/>
              </w:rPr>
              <w:t xml:space="preserve"> </w:t>
            </w:r>
            <w:r>
              <w:rPr>
                <w:szCs w:val="28"/>
              </w:rPr>
            </w:r>
            <w:r/>
          </w:p>
        </w:tc>
      </w:tr>
      <w:tr>
        <w:trPr/>
        <w:tc>
          <w:tcPr>
            <w:tcW w:w="10030" w:type="dxa"/>
            <w:vAlign w:val="top"/>
            <w:textDirection w:val="lrTb"/>
            <w:noWrap w:val="false"/>
          </w:tcPr>
          <w:p>
            <w:pPr>
              <w:pStyle w:val="648"/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  <w:lang w:eastAsia="en-US"/>
              </w:rPr>
            </w:r>
            <w:r>
              <w:rPr>
                <w:sz w:val="24"/>
                <w:szCs w:val="24"/>
              </w:rPr>
              <w:t xml:space="preserve">В целях </w:t>
            </w:r>
            <w:r>
              <w:rPr>
                <w:sz w:val="24"/>
                <w:szCs w:val="24"/>
              </w:rPr>
              <w:t xml:space="preserve">соблюдения сроков предоставления муниципальной услуги</w:t>
            </w:r>
            <w:r>
              <w:rPr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  <w:highlight w:val="yellow"/>
                <w:lang w:eastAsia="en-US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030" w:type="dxa"/>
            <w:vAlign w:val="top"/>
            <w:textDirection w:val="lrTb"/>
            <w:noWrap w:val="false"/>
          </w:tcPr>
          <w:p>
            <w:pPr>
              <w:pStyle w:val="648"/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Губкинского городского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tcW w:w="10030" w:type="dxa"/>
            <w:vAlign w:val="top"/>
            <w:textDirection w:val="lrTb"/>
            <w:noWrap w:val="false"/>
          </w:tcPr>
          <w:p>
            <w:pPr>
              <w:pStyle w:val="648"/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е окажет.</w:t>
            </w:r>
            <w:r>
              <w:rPr>
                <w:color w:val="000000"/>
                <w:sz w:val="24"/>
                <w:szCs w:val="24"/>
                <w:highlight w:val="yellow"/>
                <w:lang w:eastAsia="en-US"/>
              </w:rPr>
            </w:r>
            <w:r/>
          </w:p>
        </w:tc>
      </w:tr>
      <w:tr>
        <w:trPr/>
        <w:tc>
          <w:tcPr>
            <w:tcW w:w="10030" w:type="dxa"/>
            <w:vAlign w:val="top"/>
            <w:textDirection w:val="lrTb"/>
            <w:noWrap w:val="false"/>
          </w:tcPr>
          <w:p>
            <w:pPr>
              <w:pStyle w:val="648"/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Губкинского городского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0030" w:type="dxa"/>
            <w:vAlign w:val="top"/>
            <w:textDirection w:val="lrTb"/>
            <w:noWrap w:val="false"/>
          </w:tcPr>
          <w:p>
            <w:pPr>
              <w:pStyle w:val="648"/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тсутствуют.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</w:tr>
    </w:tbl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48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48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8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8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8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8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8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8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8"/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pStyle w:val="648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8"/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8"/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48"/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48"/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48"/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8"/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8"/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8"/>
        <w:ind w:left="2520" w:hanging="216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48"/>
        <w:ind w:left="465" w:hanging="465"/>
      </w:pPr>
      <w:rPr>
        <w:rFonts w:cs="Times New Roman"/>
      </w:rPr>
    </w:lvl>
    <w:lvl w:ilvl="1">
      <w:start w:val="1"/>
      <w:numFmt w:val="decimal"/>
      <w:isLgl w:val="false"/>
      <w:suff w:val="tab"/>
      <w:lvlText w:val="%1.%2)"/>
      <w:lvlJc w:val="left"/>
      <w:pPr>
        <w:pStyle w:val="648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)%3."/>
      <w:lvlJc w:val="left"/>
      <w:pPr>
        <w:pStyle w:val="648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)%3.%4."/>
      <w:lvlJc w:val="left"/>
      <w:pPr>
        <w:pStyle w:val="648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)%3.%4.%5."/>
      <w:lvlJc w:val="left"/>
      <w:pPr>
        <w:pStyle w:val="648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)%3.%4.%5.%6."/>
      <w:lvlJc w:val="left"/>
      <w:pPr>
        <w:pStyle w:val="648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)%3.%4.%5.%6.%7."/>
      <w:lvlJc w:val="left"/>
      <w:pPr>
        <w:pStyle w:val="648"/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)%3.%4.%5.%6.%7.%8."/>
      <w:lvlJc w:val="left"/>
      <w:pPr>
        <w:pStyle w:val="648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)%3.%4.%5.%6.%7.%8.%9."/>
      <w:lvlJc w:val="left"/>
      <w:pPr>
        <w:pStyle w:val="648"/>
        <w:ind w:left="2160" w:hanging="216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48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48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8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8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8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8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8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8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8"/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48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48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8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8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8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8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8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8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8"/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465" w:hanging="465"/>
      </w:pPr>
      <w:rPr>
        <w:rFonts w:cs="Times New Roman"/>
      </w:rPr>
    </w:lvl>
    <w:lvl w:ilvl="1">
      <w:start w:val="1"/>
      <w:numFmt w:val="decimal"/>
      <w:isLgl w:val="false"/>
      <w:suff w:val="tab"/>
      <w:lvlText w:val="%1.%2)"/>
      <w:lvlJc w:val="left"/>
      <w:pPr>
        <w:pStyle w:val="648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)%3."/>
      <w:lvlJc w:val="left"/>
      <w:pPr>
        <w:pStyle w:val="648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)%3.%4."/>
      <w:lvlJc w:val="left"/>
      <w:pPr>
        <w:pStyle w:val="648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)%3.%4.%5."/>
      <w:lvlJc w:val="left"/>
      <w:pPr>
        <w:pStyle w:val="648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)%3.%4.%5.%6."/>
      <w:lvlJc w:val="left"/>
      <w:pPr>
        <w:pStyle w:val="648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)%3.%4.%5.%6.%7."/>
      <w:lvlJc w:val="left"/>
      <w:pPr>
        <w:pStyle w:val="648"/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)%3.%4.%5.%6.%7.%8."/>
      <w:lvlJc w:val="left"/>
      <w:pPr>
        <w:pStyle w:val="648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)%3.%4.%5.%6.%7.%8.%9."/>
      <w:lvlJc w:val="left"/>
      <w:pPr>
        <w:pStyle w:val="648"/>
        <w:ind w:left="2160" w:hanging="216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48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48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8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8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8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8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8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8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8"/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48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48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8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8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8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8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8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8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8"/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48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48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8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8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8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8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8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8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8"/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8"/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8"/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48"/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48"/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48"/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8"/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8"/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8"/>
        <w:ind w:left="2520" w:hanging="216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84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48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48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15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16"/>
  </w:num>
  <w:num w:numId="10">
    <w:abstractNumId w:val="7"/>
  </w:num>
  <w:num w:numId="11">
    <w:abstractNumId w:val="9"/>
  </w:num>
  <w:num w:numId="12">
    <w:abstractNumId w:val="10"/>
  </w:num>
  <w:num w:numId="13">
    <w:abstractNumId w:val="0"/>
  </w:num>
  <w:num w:numId="14">
    <w:abstractNumId w:val="5"/>
  </w:num>
  <w:num w:numId="15">
    <w:abstractNumId w:val="3"/>
  </w:num>
  <w:num w:numId="16">
    <w:abstractNumId w:val="14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8"/>
    <w:next w:val="64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8"/>
    <w:next w:val="64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8"/>
    <w:next w:val="64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8"/>
    <w:next w:val="64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8"/>
    <w:next w:val="64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8"/>
    <w:next w:val="64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8"/>
    <w:next w:val="64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8"/>
    <w:next w:val="64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8"/>
    <w:next w:val="64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8"/>
    <w:next w:val="64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8"/>
    <w:next w:val="64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8"/>
    <w:next w:val="64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8"/>
    <w:next w:val="64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8"/>
    <w:next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next w:val="648"/>
    <w:link w:val="648"/>
    <w:qFormat/>
    <w:rPr>
      <w:rFonts w:ascii="Times New Roman" w:hAnsi="Times New Roman" w:cs="Times New Roman"/>
      <w:lang w:val="ru-RU" w:eastAsia="ru-RU" w:bidi="ar-SA"/>
    </w:rPr>
  </w:style>
  <w:style w:type="character" w:styleId="649">
    <w:name w:val="Основной шрифт абзаца"/>
    <w:next w:val="649"/>
    <w:link w:val="648"/>
    <w:uiPriority w:val="1"/>
    <w:unhideWhenUsed/>
  </w:style>
  <w:style w:type="table" w:styleId="650">
    <w:name w:val="Обычная таблица"/>
    <w:next w:val="650"/>
    <w:link w:val="648"/>
    <w:uiPriority w:val="99"/>
    <w:semiHidden/>
    <w:unhideWhenUsed/>
    <w:qFormat/>
    <w:tblPr/>
  </w:style>
  <w:style w:type="numbering" w:styleId="651">
    <w:name w:val="Нет списка"/>
    <w:next w:val="651"/>
    <w:link w:val="648"/>
    <w:uiPriority w:val="99"/>
    <w:semiHidden/>
    <w:unhideWhenUsed/>
  </w:style>
  <w:style w:type="paragraph" w:styleId="652">
    <w:name w:val="Верхний колонтитул"/>
    <w:basedOn w:val="648"/>
    <w:next w:val="652"/>
    <w:link w:val="653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653">
    <w:name w:val="Верхний колонтитул Знак"/>
    <w:next w:val="653"/>
    <w:link w:val="652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styleId="654">
    <w:name w:val="Нижний колонтитул"/>
    <w:basedOn w:val="648"/>
    <w:next w:val="654"/>
    <w:link w:val="655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655">
    <w:name w:val="Нижний колонтитул Знак"/>
    <w:next w:val="655"/>
    <w:link w:val="654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styleId="656">
    <w:name w:val="pr"/>
    <w:basedOn w:val="648"/>
    <w:next w:val="656"/>
    <w:link w:val="648"/>
    <w:pPr>
      <w:spacing w:before="100" w:beforeAutospacing="1" w:after="100" w:afterAutospacing="1"/>
    </w:pPr>
    <w:rPr>
      <w:sz w:val="24"/>
      <w:szCs w:val="24"/>
    </w:rPr>
  </w:style>
  <w:style w:type="paragraph" w:styleId="657">
    <w:name w:val="Default"/>
    <w:next w:val="657"/>
    <w:link w:val="648"/>
    <w:rPr>
      <w:rFonts w:ascii="Times New Roman" w:hAnsi="Times New Roman" w:cs="Times New Roman"/>
      <w:color w:val="000000"/>
      <w:sz w:val="24"/>
      <w:szCs w:val="24"/>
      <w:lang w:val="ru-RU" w:eastAsia="en-US" w:bidi="ar-SA"/>
    </w:rPr>
  </w:style>
  <w:style w:type="character" w:styleId="658">
    <w:name w:val="w"/>
    <w:next w:val="658"/>
    <w:link w:val="648"/>
  </w:style>
  <w:style w:type="character" w:styleId="659">
    <w:name w:val="blk"/>
    <w:next w:val="659"/>
    <w:link w:val="648"/>
  </w:style>
  <w:style w:type="paragraph" w:styleId="660">
    <w:name w:val="Абзац списка"/>
    <w:basedOn w:val="648"/>
    <w:next w:val="660"/>
    <w:link w:val="648"/>
    <w:uiPriority w:val="34"/>
    <w:qFormat/>
    <w:pPr>
      <w:contextualSpacing/>
      <w:ind w:left="720"/>
    </w:pPr>
  </w:style>
  <w:style w:type="paragraph" w:styleId="661">
    <w:name w:val="Текст выноски"/>
    <w:basedOn w:val="648"/>
    <w:next w:val="661"/>
    <w:link w:val="662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styleId="662">
    <w:name w:val="Текст выноски Знак"/>
    <w:next w:val="662"/>
    <w:link w:val="661"/>
    <w:uiPriority w:val="99"/>
    <w:semiHidden/>
    <w:rPr>
      <w:rFonts w:ascii="Segoe UI" w:hAnsi="Segoe UI" w:cs="Segoe UI"/>
      <w:sz w:val="18"/>
      <w:szCs w:val="18"/>
      <w:lang w:val="en-US" w:eastAsia="ru-RU"/>
    </w:rPr>
  </w:style>
  <w:style w:type="character" w:styleId="663">
    <w:name w:val="Гиперссылка"/>
    <w:next w:val="663"/>
    <w:link w:val="648"/>
    <w:uiPriority w:val="99"/>
    <w:unhideWhenUsed/>
    <w:rPr>
      <w:rFonts w:cs="Times New Roman"/>
      <w:color w:val="0563c1"/>
      <w:u w:val="single"/>
    </w:rPr>
  </w:style>
  <w:style w:type="table" w:styleId="664">
    <w:name w:val="Сетка таблицы"/>
    <w:basedOn w:val="650"/>
    <w:next w:val="664"/>
    <w:link w:val="648"/>
    <w:uiPriority w:val="59"/>
    <w:pPr>
      <w:spacing w:after="0" w:line="240" w:lineRule="auto"/>
    </w:pPr>
    <w:rPr>
      <w:rFonts w:cs="Calibri"/>
    </w:rPr>
    <w:tblPr/>
  </w:style>
  <w:style w:type="character" w:styleId="665">
    <w:name w:val="Замещающий текст"/>
    <w:next w:val="665"/>
    <w:link w:val="648"/>
    <w:uiPriority w:val="99"/>
    <w:semiHidden/>
    <w:rPr>
      <w:rFonts w:cs="Times New Roman"/>
      <w:color w:val="808080"/>
    </w:rPr>
  </w:style>
  <w:style w:type="paragraph" w:styleId="666">
    <w:name w:val="ConsPlusNormal"/>
    <w:next w:val="666"/>
    <w:link w:val="648"/>
    <w:rPr>
      <w:rFonts w:ascii="Arial" w:hAnsi="Arial" w:cs="Arial"/>
      <w:lang w:val="ru-RU" w:eastAsia="ru-RU" w:bidi="ar-SA"/>
    </w:rPr>
  </w:style>
  <w:style w:type="character" w:styleId="667">
    <w:name w:val="Просмотренная гиперссылка"/>
    <w:next w:val="667"/>
    <w:link w:val="648"/>
    <w:uiPriority w:val="99"/>
    <w:semiHidden/>
    <w:unhideWhenUsed/>
    <w:rPr>
      <w:rFonts w:cs="Times New Roman"/>
      <w:color w:val="954f72"/>
      <w:u w:val="single"/>
    </w:rPr>
  </w:style>
  <w:style w:type="character" w:styleId="668">
    <w:name w:val="Font Style25"/>
    <w:next w:val="668"/>
    <w:link w:val="648"/>
    <w:rPr>
      <w:rFonts w:ascii="Times New Roman" w:hAnsi="Times New Roman" w:cs="Times New Roman"/>
      <w:sz w:val="20"/>
      <w:szCs w:val="20"/>
    </w:rPr>
  </w:style>
  <w:style w:type="character" w:styleId="858" w:default="1">
    <w:name w:val="Default Paragraph Font"/>
    <w:uiPriority w:val="1"/>
    <w:semiHidden/>
    <w:unhideWhenUsed/>
  </w:style>
  <w:style w:type="numbering" w:styleId="859" w:default="1">
    <w:name w:val="No List"/>
    <w:uiPriority w:val="99"/>
    <w:semiHidden/>
    <w:unhideWhenUsed/>
  </w:style>
  <w:style w:type="table" w:styleId="8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revision>5</cp:revision>
  <dcterms:created xsi:type="dcterms:W3CDTF">2024-08-09T09:45:00Z</dcterms:created>
  <dcterms:modified xsi:type="dcterms:W3CDTF">2024-08-15T14:29:11Z</dcterms:modified>
  <cp:version>983040</cp:version>
</cp:coreProperties>
</file>