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/>
        <w:jc w:val="center"/>
        <w:keepNext/>
        <w:spacing w:before="0" w:after="0" w:line="240" w:lineRule="auto"/>
        <w:rPr>
          <w:rFonts w:ascii="Arial" w:hAnsi="Arial" w:eastAsia="Arial" w:cs="Arial"/>
          <w:color w:val="000000" w:themeColor="text1"/>
          <w:sz w:val="20"/>
          <w:szCs w:val="20"/>
        </w:rPr>
      </w:pPr>
      <w:r>
        <w:rPr>
          <w:rFonts w:ascii="Arial" w:hAnsi="Arial" w:eastAsia="Arial" w:cs="Arial"/>
          <w:b/>
          <w:color w:val="000000" w:themeColor="text1"/>
          <w:sz w:val="20"/>
          <w:highlight w:val="none"/>
          <w:lang w:val="ru-RU"/>
        </w:rPr>
      </w:r>
      <w:r>
        <w:rPr>
          <w:rFonts w:ascii="Arial" w:hAnsi="Arial" w:eastAsia="Arial" w:cs="Arial"/>
          <w:color w:val="000000" w:themeColor="text1"/>
          <w:sz w:val="20"/>
          <w:szCs w:val="20"/>
        </w:rPr>
      </w:r>
      <w:r>
        <w:rPr>
          <w:rFonts w:ascii="Arial" w:hAnsi="Arial" w:eastAsia="Arial" w:cs="Arial"/>
          <w:color w:val="000000" w:themeColor="text1"/>
          <w:sz w:val="20"/>
          <w:szCs w:val="20"/>
        </w:rPr>
      </w:r>
    </w:p>
    <w:p>
      <w:pPr>
        <w:ind w:left="0"/>
        <w:jc w:val="center"/>
        <w:keepNext/>
        <w:spacing w:before="0" w:after="0" w:line="240" w:lineRule="auto"/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pPr>
      <w:r>
        <w:rPr>
          <w:rFonts w:ascii="Arial" w:hAnsi="Arial" w:eastAsia="Arial" w:cs="Arial"/>
          <w:b/>
          <w:color w:val="000000" w:themeColor="text1"/>
          <w:sz w:val="20"/>
          <w:highlight w:val="none"/>
          <w:lang w:val="ru-RU"/>
        </w:rPr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r>
    </w:p>
    <w:p>
      <w:pPr>
        <w:ind w:left="0"/>
        <w:jc w:val="center"/>
        <w:keepNext/>
        <w:spacing w:before="0" w:after="0" w:line="240" w:lineRule="auto"/>
        <w:rPr>
          <w:rFonts w:ascii="Arial" w:hAnsi="Arial" w:cs="Arial"/>
          <w:b/>
          <w:bCs/>
          <w:color w:val="000000" w:themeColor="text1"/>
          <w14:ligatures w14:val="none"/>
        </w:rPr>
      </w:pPr>
      <w:r>
        <w:rPr>
          <w:rFonts w:ascii="Arial" w:hAnsi="Arial" w:cs="Arial"/>
          <w:b/>
          <w:bCs/>
          <w:color w:val="000000" w:themeColor="text1"/>
          <w:lang w:val="ru-RU"/>
        </w:rPr>
      </w:r>
      <w:r>
        <w:rPr>
          <w:rFonts w:ascii="Arial" w:hAnsi="Arial" w:cs="Arial"/>
          <w:b/>
          <w:bCs/>
          <w:color w:val="000000" w:themeColor="text1"/>
          <w14:ligatures w14:val="none"/>
        </w:rPr>
      </w:r>
      <w:r>
        <w:rPr>
          <w:rFonts w:ascii="Arial" w:hAnsi="Arial" w:cs="Arial"/>
          <w:b/>
          <w:bCs/>
          <w:color w:val="000000" w:themeColor="text1"/>
          <w14:ligatures w14:val="none"/>
        </w:rPr>
      </w:r>
    </w:p>
    <w:p>
      <w:pPr>
        <w:ind w:left="0"/>
        <w:jc w:val="center"/>
        <w:keepNext/>
        <w:spacing w:before="0" w:after="0" w:line="240" w:lineRule="auto"/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pPr>
      <w:r>
        <w:rPr>
          <w:rFonts w:ascii="Arial" w:hAnsi="Arial" w:cs="Arial"/>
          <w:b/>
          <w:bCs/>
          <w:color w:val="000000" w:themeColor="text1"/>
          <w:lang w:val="ru-RU"/>
        </w:rPr>
        <w:t xml:space="preserve">Г</w:t>
      </w:r>
      <w:r>
        <w:rPr>
          <w:rFonts w:ascii="Arial" w:hAnsi="Arial" w:cs="Arial"/>
          <w:b/>
          <w:color w:val="000000" w:themeColor="text1"/>
        </w:rPr>
        <w:t xml:space="preserve">У</w:t>
      </w:r>
      <w:r>
        <w:rPr>
          <w:rFonts w:ascii="Arial" w:hAnsi="Arial" w:cs="Arial"/>
          <w:b/>
          <w:bCs/>
          <w:color w:val="000000" w:themeColor="text1"/>
        </w:rPr>
        <w:t xml:space="preserve">БКИНСКИЙ ГОРОДСКОЙ ОК</w:t>
      </w:r>
      <w:r>
        <w:rPr>
          <w:rFonts w:ascii="Arial" w:hAnsi="Arial" w:cs="Arial"/>
          <w:b/>
          <w:color w:val="000000" w:themeColor="text1"/>
        </w:rPr>
        <w:t xml:space="preserve">РУГ</w:t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r>
    </w:p>
    <w:p>
      <w:pPr>
        <w:ind w:left="0"/>
        <w:jc w:val="center"/>
        <w:keepNext/>
        <w:spacing w:before="0" w:after="0" w:line="240" w:lineRule="auto"/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pPr>
      <w:r>
        <w:rPr>
          <w:rFonts w:ascii="Arial" w:hAnsi="Arial" w:cs="Arial"/>
          <w:b/>
          <w:bCs/>
          <w:color w:val="000000" w:themeColor="text1"/>
          <w:lang w:val="ru-RU"/>
        </w:rPr>
        <w:t xml:space="preserve">БЕЛГ</w:t>
      </w:r>
      <w:r>
        <w:rPr>
          <w:rFonts w:ascii="Arial" w:hAnsi="Arial" w:cs="Arial"/>
          <w:b/>
          <w:bCs/>
          <w:color w:val="000000" w:themeColor="text1"/>
          <w:lang w:val="ru-RU"/>
        </w:rPr>
        <w:t xml:space="preserve">ОРО</w:t>
      </w:r>
      <w:r>
        <w:rPr>
          <w:rFonts w:ascii="Arial" w:hAnsi="Arial" w:cs="Arial"/>
          <w:b/>
          <w:bCs/>
          <w:color w:val="000000" w:themeColor="text1"/>
          <w:lang w:val="ru-RU"/>
        </w:rPr>
        <w:t xml:space="preserve">ДСКОЙ ОБЛАСТИ</w:t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  <w:highlight w:val="none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Arial" w:hAnsi="Arial" w:eastAsia="Arial" w:cs="Arial"/>
          <w:b/>
          <w:color w:val="000000" w:themeColor="text1"/>
          <w:sz w:val="20"/>
        </w:rPr>
      </w:pPr>
      <w:r>
        <w:rPr>
          <w:rFonts w:ascii="Arial" w:hAnsi="Arial" w:eastAsia="Arial" w:cs="Arial"/>
          <w:b/>
          <w:color w:val="000000" w:themeColor="text1"/>
          <w:sz w:val="20"/>
          <w:lang w:val="ru-RU"/>
        </w:rPr>
      </w:r>
      <w:r>
        <w:rPr>
          <w:rFonts w:ascii="Arial" w:hAnsi="Arial" w:eastAsia="Arial" w:cs="Arial"/>
          <w:b/>
          <w:color w:val="000000" w:themeColor="text1"/>
          <w:sz w:val="20"/>
        </w:rPr>
      </w:r>
      <w:r>
        <w:rPr>
          <w:rFonts w:ascii="Arial" w:hAnsi="Arial" w:eastAsia="Arial" w:cs="Arial"/>
          <w:b/>
          <w:color w:val="000000" w:themeColor="text1"/>
          <w:sz w:val="20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ArialNarrow" w:hAnsi="ArialNarrow" w:eastAsia="ArialNarrow" w:cs="ArialNarrow"/>
          <w:b/>
          <w:color w:val="000000" w:themeColor="text1"/>
          <w:sz w:val="28"/>
          <w:szCs w:val="16"/>
        </w:rPr>
        <w:outlineLvl w:val="0"/>
      </w:pPr>
      <w:r>
        <w:rPr>
          <w:rFonts w:ascii="ArialNarrow" w:hAnsi="ArialNarrow" w:eastAsia="ArialNarrow" w:cs="ArialNarrow"/>
          <w:b/>
          <w:color w:val="000000" w:themeColor="text1"/>
          <w:sz w:val="32"/>
          <w:szCs w:val="18"/>
          <w:lang w:val="ru-RU"/>
        </w:rPr>
        <w:t xml:space="preserve">АДМИНИСТРАЦИЯ ГУБКИНСКОГО ГОРОДСКОГО ОКРУГА</w:t>
      </w:r>
      <w:r>
        <w:rPr>
          <w:rFonts w:ascii="ArialNarrow" w:hAnsi="ArialNarrow" w:eastAsia="ArialNarrow" w:cs="ArialNarrow"/>
          <w:b/>
          <w:color w:val="000000" w:themeColor="text1"/>
          <w:sz w:val="28"/>
          <w:szCs w:val="16"/>
        </w:rPr>
      </w:r>
      <w:r>
        <w:rPr>
          <w:rFonts w:ascii="ArialNarrow" w:hAnsi="ArialNarrow" w:eastAsia="ArialNarrow" w:cs="ArialNarrow"/>
          <w:b/>
          <w:color w:val="000000" w:themeColor="text1"/>
          <w:sz w:val="28"/>
          <w:szCs w:val="16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Arial" w:hAnsi="Arial" w:eastAsia="Arial" w:cs="Arial"/>
          <w:b/>
          <w:color w:val="000000" w:themeColor="text1"/>
          <w:sz w:val="20"/>
        </w:rPr>
        <w:outlineLvl w:val="0"/>
      </w:pPr>
      <w:r>
        <w:rPr>
          <w:rFonts w:ascii="Arial" w:hAnsi="Arial" w:eastAsia="Arial" w:cs="Arial"/>
          <w:b/>
          <w:color w:val="000000" w:themeColor="text1"/>
          <w:sz w:val="20"/>
          <w:lang w:val="ru-RU"/>
        </w:rPr>
      </w:r>
      <w:r>
        <w:rPr>
          <w:rFonts w:ascii="Arial" w:hAnsi="Arial" w:eastAsia="Arial" w:cs="Arial"/>
          <w:b/>
          <w:color w:val="000000" w:themeColor="text1"/>
          <w:sz w:val="20"/>
        </w:rPr>
      </w:r>
      <w:r>
        <w:rPr>
          <w:rFonts w:ascii="Arial" w:hAnsi="Arial" w:eastAsia="Arial" w:cs="Arial"/>
          <w:b/>
          <w:color w:val="000000" w:themeColor="text1"/>
          <w:sz w:val="20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Arial" w:hAnsi="Arial" w:eastAsia="Arial" w:cs="Arial"/>
          <w:color w:val="000000" w:themeColor="text1"/>
          <w:sz w:val="32"/>
        </w:rPr>
        <w:outlineLvl w:val="0"/>
      </w:pPr>
      <w:r>
        <w:rPr>
          <w:rFonts w:ascii="Arial" w:hAnsi="Arial" w:eastAsia="Arial" w:cs="Arial"/>
          <w:color w:val="000000" w:themeColor="text1"/>
          <w:sz w:val="32"/>
          <w:lang w:val="ru-RU"/>
        </w:rPr>
        <w:t xml:space="preserve">П О С Т А Н О В Л Е Н И Е</w:t>
      </w:r>
      <w:r>
        <w:rPr>
          <w:rFonts w:ascii="Arial" w:hAnsi="Arial" w:eastAsia="Arial" w:cs="Arial"/>
          <w:color w:val="000000" w:themeColor="text1"/>
          <w:sz w:val="32"/>
        </w:rPr>
      </w:r>
      <w:r>
        <w:rPr>
          <w:rFonts w:ascii="Arial" w:hAnsi="Arial" w:eastAsia="Arial" w:cs="Arial"/>
          <w:color w:val="000000" w:themeColor="text1"/>
          <w:sz w:val="32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Arial" w:hAnsi="Arial" w:eastAsia="Arial" w:cs="Arial"/>
          <w:b/>
          <w:color w:val="000000" w:themeColor="text1"/>
          <w:sz w:val="20"/>
        </w:rPr>
      </w:pPr>
      <w:r>
        <w:rPr>
          <w:rFonts w:ascii="Arial" w:hAnsi="Arial" w:eastAsia="Arial" w:cs="Arial"/>
          <w:b/>
          <w:color w:val="000000" w:themeColor="text1"/>
          <w:sz w:val="20"/>
          <w:lang w:val="ru-RU"/>
        </w:rPr>
      </w:r>
      <w:r>
        <w:rPr>
          <w:rFonts w:ascii="Arial" w:hAnsi="Arial" w:eastAsia="Arial" w:cs="Arial"/>
          <w:b/>
          <w:color w:val="000000" w:themeColor="text1"/>
          <w:sz w:val="20"/>
        </w:rPr>
      </w:r>
      <w:r>
        <w:rPr>
          <w:rFonts w:ascii="Arial" w:hAnsi="Arial" w:eastAsia="Arial" w:cs="Arial"/>
          <w:b/>
          <w:color w:val="000000" w:themeColor="text1"/>
          <w:sz w:val="20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Arial" w:hAnsi="Arial" w:eastAsia="Arial" w:cs="Arial"/>
          <w:b/>
          <w:color w:val="000000" w:themeColor="text1"/>
          <w:sz w:val="17"/>
        </w:rPr>
      </w:pPr>
      <w:r>
        <w:rPr>
          <w:rFonts w:ascii="Arial" w:hAnsi="Arial" w:eastAsia="Arial" w:cs="Arial"/>
          <w:b/>
          <w:color w:val="000000" w:themeColor="text1"/>
          <w:sz w:val="17"/>
          <w:lang w:val="ru-RU"/>
        </w:rPr>
        <w:t xml:space="preserve">Губкин</w:t>
      </w:r>
      <w:r>
        <w:rPr>
          <w:rFonts w:ascii="Arial" w:hAnsi="Arial" w:eastAsia="Arial" w:cs="Arial"/>
          <w:b/>
          <w:color w:val="000000" w:themeColor="text1"/>
          <w:sz w:val="17"/>
        </w:rPr>
      </w:r>
      <w:r>
        <w:rPr>
          <w:rFonts w:ascii="Arial" w:hAnsi="Arial" w:eastAsia="Arial" w:cs="Arial"/>
          <w:b/>
          <w:color w:val="000000" w:themeColor="text1"/>
          <w:sz w:val="17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4"/>
        </w:rPr>
      </w:pPr>
      <w:r>
        <w:rPr>
          <w:rFonts w:ascii="TimesNewRoman" w:hAnsi="TimesNewRoman" w:eastAsia="TimesNewRoman" w:cs="TimesNewRoman"/>
          <w:color w:val="000000" w:themeColor="text1"/>
          <w:sz w:val="24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4"/>
        </w:rPr>
      </w:r>
      <w:r>
        <w:rPr>
          <w:rFonts w:ascii="TimesNewRoman" w:hAnsi="TimesNewRoman" w:eastAsia="TimesNewRoman" w:cs="TimesNewRoman"/>
          <w:color w:val="000000" w:themeColor="text1"/>
          <w:sz w:val="24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4"/>
        </w:rPr>
      </w:pPr>
      <w:r>
        <w:rPr>
          <w:rFonts w:ascii="TimesNewRoman" w:hAnsi="TimesNewRoman" w:eastAsia="TimesNewRoman" w:cs="TimesNewRoman"/>
          <w:color w:val="000000" w:themeColor="text1"/>
          <w:sz w:val="24"/>
          <w:lang w:val="ru-RU"/>
        </w:rPr>
      </w:r>
      <w:r>
        <w:rPr>
          <w:rFonts w:ascii="TimesNewRoman" w:hAnsi="TimesNewRoman" w:eastAsia="TimesNewRoman" w:cs="TimesNewRoman"/>
          <w:color w:val="000000" w:themeColor="text1"/>
          <w:sz w:val="24"/>
        </w:rPr>
      </w:r>
      <w:r>
        <w:rPr>
          <w:rFonts w:ascii="TimesNewRoman" w:hAnsi="TimesNewRoman" w:eastAsia="TimesNewRoman" w:cs="TimesNewRoman"/>
          <w:color w:val="000000" w:themeColor="text1"/>
          <w:sz w:val="24"/>
        </w:rPr>
      </w:r>
    </w:p>
    <w:p>
      <w:pPr>
        <w:pStyle w:val="888"/>
        <w:ind w:left="0"/>
        <w:jc w:val="center"/>
        <w:keepNext/>
        <w:spacing w:before="0" w:after="0" w:line="240" w:lineRule="auto"/>
        <w:rPr>
          <w:rFonts w:ascii="TimesNewRoman" w:hAnsi="TimesNewRoman" w:eastAsia="TimesNewRoman" w:cs="TimesNewRoman"/>
          <w:color w:val="000000" w:themeColor="text1"/>
          <w:sz w:val="24"/>
        </w:rPr>
      </w:pPr>
      <w:r>
        <w:rPr>
          <w:rFonts w:ascii="TimesNewRoman" w:hAnsi="TimesNewRoman" w:eastAsia="TimesNewRoman" w:cs="TimesNewRoman"/>
          <w:b/>
          <w:color w:val="000000" w:themeColor="text1"/>
          <w:sz w:val="24"/>
          <w:lang w:val="ru-RU"/>
        </w:rPr>
        <w:t xml:space="preserve"> “______” ________________ 2024 г.                                                                          № ________</w:t>
      </w:r>
      <w:r>
        <w:rPr>
          <w:rFonts w:ascii="TimesNewRoman" w:hAnsi="TimesNewRoman" w:eastAsia="TimesNewRoman" w:cs="TimesNewRoman"/>
          <w:color w:val="000000" w:themeColor="text1"/>
          <w:sz w:val="24"/>
        </w:rPr>
      </w:r>
      <w:r>
        <w:rPr>
          <w:rFonts w:ascii="TimesNewRoman" w:hAnsi="TimesNewRoman" w:eastAsia="TimesNewRoman" w:cs="TimesNewRoman"/>
          <w:color w:val="000000" w:themeColor="text1"/>
          <w:sz w:val="24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color w:val="000000" w:themeColor="text1"/>
          <w:sz w:val="16"/>
        </w:rPr>
      </w:pPr>
      <w:r>
        <w:rPr>
          <w:rFonts w:ascii="TimesNewRoman" w:hAnsi="TimesNewRoman" w:eastAsia="TimesNewRoman" w:cs="TimesNewRoman"/>
          <w:b/>
          <w:color w:val="000000" w:themeColor="text1"/>
          <w:sz w:val="16"/>
          <w:lang w:val="ru-RU"/>
        </w:rPr>
      </w:r>
      <w:r>
        <w:rPr>
          <w:rFonts w:ascii="TimesNewRoman" w:hAnsi="TimesNewRoman" w:eastAsia="TimesNewRoman" w:cs="TimesNewRoman"/>
          <w:b/>
          <w:color w:val="000000" w:themeColor="text1"/>
          <w:sz w:val="16"/>
        </w:rPr>
      </w:r>
      <w:r>
        <w:rPr>
          <w:rFonts w:ascii="TimesNewRoman" w:hAnsi="TimesNewRoman" w:eastAsia="TimesNewRoman" w:cs="TimesNewRoman"/>
          <w:b/>
          <w:color w:val="000000" w:themeColor="text1"/>
          <w:sz w:val="16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color w:val="000000" w:themeColor="text1"/>
          <w:sz w:val="16"/>
        </w:rPr>
      </w:pPr>
      <w:r>
        <w:rPr>
          <w:rFonts w:ascii="TimesNewRoman" w:hAnsi="TimesNewRoman" w:eastAsia="TimesNewRoman" w:cs="TimesNewRoman"/>
          <w:b/>
          <w:color w:val="000000" w:themeColor="text1"/>
          <w:sz w:val="16"/>
          <w:lang w:val="ru-RU"/>
        </w:rPr>
      </w:r>
      <w:r>
        <w:rPr>
          <w:rFonts w:ascii="TimesNewRoman" w:hAnsi="TimesNewRoman" w:eastAsia="TimesNewRoman" w:cs="TimesNewRoman"/>
          <w:b/>
          <w:color w:val="000000" w:themeColor="text1"/>
          <w:sz w:val="16"/>
        </w:rPr>
      </w:r>
      <w:r>
        <w:rPr>
          <w:rFonts w:ascii="TimesNewRoman" w:hAnsi="TimesNewRoman" w:eastAsia="TimesNewRoman" w:cs="TimesNewRoman"/>
          <w:b/>
          <w:color w:val="000000" w:themeColor="text1"/>
          <w:sz w:val="16"/>
        </w:rPr>
      </w:r>
    </w:p>
    <w:p>
      <w:pPr>
        <w:pStyle w:val="891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b/>
          <w:color w:val="000000" w:themeColor="text1"/>
          <w:sz w:val="16"/>
        </w:rPr>
      </w:pPr>
      <w:r>
        <w:rPr>
          <w:rFonts w:ascii="TimesNewRoman" w:hAnsi="TimesNewRoman" w:eastAsia="TimesNewRoman" w:cs="TimesNewRoman"/>
          <w:b/>
          <w:color w:val="000000" w:themeColor="text1"/>
          <w:sz w:val="16"/>
          <w:lang w:val="ru-RU"/>
        </w:rPr>
      </w:r>
      <w:r>
        <w:rPr>
          <w:rFonts w:ascii="TimesNewRoman" w:hAnsi="TimesNewRoman" w:eastAsia="TimesNewRoman" w:cs="TimesNewRoman"/>
          <w:b/>
          <w:color w:val="000000" w:themeColor="text1"/>
          <w:sz w:val="16"/>
        </w:rPr>
      </w:r>
      <w:r>
        <w:rPr>
          <w:rFonts w:ascii="TimesNewRoman" w:hAnsi="TimesNewRoman" w:eastAsia="TimesNewRoman" w:cs="TimesNewRoman"/>
          <w:b/>
          <w:color w:val="000000" w:themeColor="text1"/>
          <w:sz w:val="16"/>
        </w:rPr>
      </w:r>
    </w:p>
    <w:p>
      <w:pPr>
        <w:pStyle w:val="891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b/>
          <w:color w:val="000000" w:themeColor="text1"/>
          <w:sz w:val="28"/>
        </w:rPr>
      </w:pPr>
      <w:r>
        <w:rPr>
          <w:rFonts w:ascii="TimesNewRoman" w:hAnsi="TimesNewRoman" w:eastAsia="TimesNewRoman" w:cs="TimesNewRoman"/>
          <w:b/>
          <w:color w:val="000000" w:themeColor="text1"/>
          <w:sz w:val="28"/>
          <w:lang w:val="ru-RU"/>
        </w:rPr>
      </w:r>
      <w:r>
        <w:rPr>
          <w:rFonts w:ascii="TimesNewRoman" w:hAnsi="TimesNewRoman" w:eastAsia="TimesNewRoman" w:cs="TimesNewRoman"/>
          <w:b/>
          <w:color w:val="000000" w:themeColor="text1"/>
          <w:sz w:val="28"/>
        </w:rPr>
      </w:r>
      <w:r>
        <w:rPr>
          <w:rFonts w:ascii="TimesNewRoman" w:hAnsi="TimesNewRoman" w:eastAsia="TimesNewRoman" w:cs="TimesNewRoman"/>
          <w:b/>
          <w:color w:val="000000" w:themeColor="text1"/>
          <w:sz w:val="28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color w:val="auto"/>
          <w:sz w:val="28"/>
        </w:rPr>
      </w:pPr>
      <w:r>
        <w:rPr>
          <w:rFonts w:ascii="TimesNewRoman" w:hAnsi="TimesNewRoman" w:eastAsia="TimesNewRoman" w:cs="TimesNewRoman"/>
          <w:b/>
          <w:color w:val="auto"/>
          <w:sz w:val="28"/>
          <w:lang w:val="ru-RU"/>
        </w:rPr>
        <w:t xml:space="preserve">Об определении границ </w:t>
      </w:r>
      <w:r>
        <w:rPr>
          <w:rFonts w:ascii="TimesNewRoman" w:hAnsi="TimesNewRoman" w:eastAsia="TimesNewRoman" w:cs="TimesNewRoman"/>
          <w:b/>
          <w:color w:val="auto"/>
          <w:sz w:val="28"/>
        </w:rPr>
      </w:r>
      <w:r>
        <w:rPr>
          <w:rFonts w:ascii="TimesNewRoman" w:hAnsi="TimesNewRoman" w:eastAsia="TimesNewRoman" w:cs="TimesNewRoman"/>
          <w:b/>
          <w:color w:val="auto"/>
          <w:sz w:val="28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color w:val="auto"/>
          <w:sz w:val="28"/>
        </w:rPr>
      </w:pPr>
      <w:r>
        <w:rPr>
          <w:rFonts w:ascii="TimesNewRoman" w:hAnsi="TimesNewRoman" w:eastAsia="TimesNewRoman" w:cs="TimesNewRoman"/>
          <w:b/>
          <w:color w:val="auto"/>
          <w:sz w:val="28"/>
          <w:lang w:val="ru-RU"/>
        </w:rPr>
        <w:t xml:space="preserve">прилегающих территорий, на которых</w:t>
      </w:r>
      <w:r>
        <w:rPr>
          <w:rFonts w:ascii="TimesNewRoman" w:hAnsi="TimesNewRoman" w:eastAsia="TimesNewRoman" w:cs="TimesNewRoman"/>
          <w:b/>
          <w:color w:val="auto"/>
          <w:sz w:val="28"/>
        </w:rPr>
      </w:r>
      <w:r>
        <w:rPr>
          <w:rFonts w:ascii="TimesNewRoman" w:hAnsi="TimesNewRoman" w:eastAsia="TimesNewRoman" w:cs="TimesNewRoman"/>
          <w:b/>
          <w:color w:val="auto"/>
          <w:sz w:val="28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не допускаются розничная продажа 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алкогольной продукции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и розничная продажа алкогольной 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продукции при оказании услуг 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общественного питания, на территории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Губкинского городского округа</w:t>
      </w: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 </w:t>
      </w:r>
      <w:r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r>
    </w:p>
    <w:p>
      <w:pPr>
        <w:pStyle w:val="891"/>
        <w:ind w:left="0" w:firstLine="0"/>
        <w:jc w:val="left"/>
        <w:spacing w:before="0" w:after="0" w:line="283" w:lineRule="exact"/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16"/>
          <w:lang w:val="ru-RU"/>
        </w:rPr>
      </w:pP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16"/>
          <w:lang w:val="ru-RU"/>
        </w:rPr>
      </w:pP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16"/>
          <w:lang w:val="ru-RU"/>
        </w:rPr>
      </w:pP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16"/>
          <w:lang w:val="ru-RU"/>
        </w:rPr>
      </w:pP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  <w:r>
        <w:rPr>
          <w:rFonts w:ascii="TimesNewRoman" w:hAnsi="TimesNewRoman" w:eastAsia="TimesNewRoman" w:cs="TimesNewRoman"/>
          <w:sz w:val="16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В соответствии с пунктом 8 статьи 16 Федерального закона от 22 ноября 1995 года №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руководствуясь Федеральным законом от 6 октября 2003 года № 131-ФЗ «Об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общих принципах организации местного самоуправления в Российской Федерации», постановлением Правительства Российской Федерации от 23 декабря 2020 года № 2220 «Об утверждении Правил определения органами местного самоуправления границ прилегающих территорий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питания», на основании Устава Губкинского городского округа Белгородской области администрация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Губкинского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городского округа 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901"/>
        <w:contextualSpacing w:val="0"/>
        <w:ind w:left="0" w:firstLine="0"/>
        <w:jc w:val="both"/>
        <w:keepLines w:val="0"/>
        <w:keepNext/>
        <w:pageBreakBefore w:val="0"/>
        <w:spacing w:before="0" w:after="0" w:line="240" w:lineRule="auto"/>
        <w:shd w:val="clear" w:color="000000"/>
        <w:rPr>
          <w:rFonts w:ascii="TimesNewRoman" w:hAnsi="TimesNewRoman" w:eastAsia="TimesNewRoman" w:cs="TimesNewRoman"/>
          <w:b/>
          <w:i w:val="0"/>
          <w:caps w:val="0"/>
          <w:smallCaps w:val="0"/>
          <w:strike w:val="0"/>
          <w:color w:val="000000"/>
          <w:spacing w:val="0"/>
          <w:position w:val="0"/>
          <w:sz w:val="28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NewRoman" w:hAnsi="TimesNewRoman" w:eastAsia="TimesNewRoman" w:cs="TimesNewRoman"/>
          <w:b/>
          <w:i w:val="0"/>
          <w:caps w:val="0"/>
          <w:smallCaps w:val="0"/>
          <w:color w:val="000000"/>
          <w:spacing w:val="0"/>
          <w:position w:val="0"/>
          <w:sz w:val="28"/>
          <w:lang w:val="ru-RU"/>
        </w:rPr>
        <w:t xml:space="preserve">ПОСТАНОВЛЯЕТ:</w:t>
      </w:r>
      <w:r>
        <w:rPr>
          <w:rFonts w:ascii="TimesNewRoman" w:hAnsi="TimesNewRoman" w:eastAsia="TimesNewRoman" w:cs="TimesNewRoman"/>
          <w:b/>
          <w:i w:val="0"/>
          <w:caps w:val="0"/>
          <w:smallCaps w:val="0"/>
          <w:strike w:val="0"/>
          <w:color w:val="000000"/>
          <w:spacing w:val="0"/>
          <w:position w:val="0"/>
          <w:sz w:val="28"/>
          <w:lang w:val="ru-RU"/>
        </w:rPr>
      </w:r>
      <w:r>
        <w:rPr>
          <w:rFonts w:ascii="TimesNewRoman" w:hAnsi="TimesNewRoman" w:eastAsia="TimesNewRoman" w:cs="TimesNewRoman"/>
          <w:b/>
          <w:i w:val="0"/>
          <w:caps w:val="0"/>
          <w:smallCaps w:val="0"/>
          <w:strike w:val="0"/>
          <w:color w:val="000000"/>
          <w:spacing w:val="0"/>
          <w:position w:val="0"/>
          <w:sz w:val="28"/>
          <w:lang w:val="ru-RU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lang w:val="ru-RU"/>
        </w:rPr>
      </w:r>
      <w:bookmarkStart w:id="1" w:name="Par15"/>
      <w:r>
        <w:rPr>
          <w:lang w:val="ru-RU"/>
        </w:rPr>
      </w:r>
      <w:bookmarkEnd w:id="1"/>
      <w:r>
        <w:rPr>
          <w:rFonts w:ascii="TimesNewRoman" w:hAnsi="TimesNewRoman" w:eastAsia="TimesNewRoman" w:cs="TimesNewRoman"/>
          <w:sz w:val="28"/>
          <w:lang w:val="ru-RU"/>
        </w:rPr>
        <w:t xml:space="preserve">1. Устан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овить на территории Губкинского городского округа границы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50 метров: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- к зданиям, строениям, сооружениям, помещениям, находящимся во владении и (или) пользовании образовательных организаций (за исключением организаций дополнительного образования, организаций дополнительного профессионального образования);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szCs w:val="28"/>
          <w:highlight w:val="none"/>
          <w:lang w:val="ru-RU"/>
        </w:rPr>
      </w:pPr>
      <w:r>
        <w:rPr>
          <w:lang w:val="ru-RU"/>
        </w:rPr>
      </w:r>
      <w:bookmarkStart w:id="2" w:name="Par17"/>
      <w:r>
        <w:rPr>
          <w:lang w:val="ru-RU"/>
        </w:rPr>
      </w:r>
      <w:bookmarkEnd w:id="2"/>
      <w:r>
        <w:rPr>
          <w:rFonts w:ascii="TimesNewRoman" w:hAnsi="TimesNewRoman" w:eastAsia="TimesNewRoman" w:cs="TimesNewRoman"/>
          <w:sz w:val="28"/>
          <w:lang w:val="ru-RU"/>
        </w:rPr>
        <w:t xml:space="preserve">- к зданиям, строениям, сооружениям, помещениям, находящимся во владении и (или) пользовании организаций, осуществляющих обучение несовершеннолетних;</w:t>
      </w:r>
      <w:r>
        <w:rPr>
          <w:rFonts w:ascii="TimesNewRoman" w:hAnsi="TimesNewRoman" w:eastAsia="TimesNewRoman" w:cs="TimesNewRoman"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sz w:val="28"/>
          <w:szCs w:val="28"/>
          <w:highlight w:val="none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- к бое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вым позициям войск, полигонам, узлам связи, в расположении воинских частей, к специальным технологическим комплексам, к зданиям и сооружениям, предназначенным для управления войсками, размещения и хранения военной техники, военного имущества и оборудования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, испытания вооружения, а также к зданиям и сооружениям производственных и научно-исследовательских организаций Вооруженных Сил Российской Федерации, других войск, воинских формирований и органов, обеспечивающих оборону и безопасность Российской Федерации;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- к вокзалам;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- к местам нахождения источников повышенной опасности, определяемых органами государственной власти Белгородской области.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lang w:val="ru-RU"/>
        </w:rPr>
      </w:r>
      <w:bookmarkStart w:id="3" w:name="Par22"/>
      <w:r>
        <w:rPr>
          <w:lang w:val="ru-RU"/>
        </w:rPr>
      </w:r>
      <w:bookmarkEnd w:id="3"/>
      <w:r>
        <w:rPr>
          <w:rFonts w:ascii="TimesNewRoman" w:hAnsi="TimesNewRoman" w:eastAsia="TimesNewRoman" w:cs="TimesNewRoman"/>
          <w:sz w:val="28"/>
          <w:lang w:val="ru-RU"/>
        </w:rPr>
        <w:t xml:space="preserve">2. Установить на территории Губкинского городского округа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границы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расстоянии 10 метров к зданиям, строениям, сооружениям, помещениям, находящимс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я во владении и (или) пользовании юридических лиц независимо от организационно-правовой формы и индивидуальных предпринимателей, осуществляющих в качестве основного (уставного) вида деятельности медицинскую деятельность или осуществляющих медицинскую деяте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льность наряду с основной (уставной) деятельностью на основании лицензии, выданной в порядке, установленном законодательством Российской Федерации, за исключением видов медицинской деятельности по перечню, утвержденному Правительством Российской Федерации.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3. Установить на территории Губкинского городского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округа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границы прилегающих территорий, на которых не допускается розничная продажа алкогольной продукции, на расстоянии 50 метров к спортивным сооружениям, которые являются объектами недвижимости и права на которые зарегистрированы в установленном порядке.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lang w:val="ru-RU"/>
        </w:rPr>
      </w:r>
      <w:bookmarkStart w:id="4" w:name="Par26"/>
      <w:r>
        <w:rPr>
          <w:lang w:val="ru-RU"/>
        </w:rPr>
      </w:r>
      <w:bookmarkEnd w:id="4"/>
      <w:r>
        <w:rPr>
          <w:rFonts w:ascii="TimesNewRoman" w:hAnsi="TimesNewRoman" w:eastAsia="TimesNewRoman" w:cs="TimesNewRoman"/>
          <w:sz w:val="28"/>
          <w:lang w:val="ru-RU"/>
        </w:rPr>
        <w:t xml:space="preserve">4. Установить на территории Губкинского городского округа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границы прилегающих территорий, на которых не допускается розничная продажа алкогольной продукции при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оказании услуг общественного питания, на расстоянии 50 метров к спортивным сооружениям, которые являются объектами недвижимости и права на которые зарегистрированы в установленном порядке, во время проведения в них детско-юношеских спортивных мероприятий.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lang w:val="ru-RU"/>
        </w:rPr>
      </w:r>
      <w:bookmarkStart w:id="5" w:name="Par28"/>
      <w:r>
        <w:rPr>
          <w:lang w:val="ru-RU"/>
        </w:rPr>
      </w:r>
      <w:bookmarkEnd w:id="5"/>
      <w:r>
        <w:rPr>
          <w:rFonts w:ascii="TimesNewRoman" w:hAnsi="TimesNewRoman" w:eastAsia="TimesNewRoman" w:cs="TimesNewRoman"/>
          <w:sz w:val="28"/>
          <w:lang w:val="ru-RU"/>
        </w:rPr>
        <w:t xml:space="preserve">5. Установить на территории Губкинского городского округа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границы прилегающих те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рриторий, на которых не допускается розни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чная продажа алкогольной продукции при оказании услуг общественного питания, в объектах общественного питания с залом обслуживания посетителей общей площадью менее 20 квадратных метров,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к многоквартирным домам на расстоянии 50 метров.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6. Утвердить пор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ядок определения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Губкинского городского округа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(прилагается).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szCs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7. Управлению потребительского р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ынка, бытовых услуг и защиты прав потребителей администрации Губкинского городского округа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(Пашкова И.А.)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:</w:t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szCs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- не позднее 30 календарных дней со дня принятия настоящего постановления направить его копию в департамент потребительского рынка министерства сельского хозяйства и продовольствия Белгородской области;</w:t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color w:val="ff0000"/>
          <w:highlight w:val="none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-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в порядке, предусмотренн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ом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 постановлением Правительства Белгородской области от 26 марта 2018 года № 91-пп 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«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О реализации отдельных положений статьи 16 Федерального закона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льной продукции»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,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проинформировать о принятии настоящего постановления расположенные на территории Губкинского городского округа организации, осуществляющие розничную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продажу алкогольной продукции, индивидуальных предпринимателей, осуществляющих розничную продажу пива, пивных напитков, сидра, пуаре, медовухи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, 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а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 также организации, осуществляющие розничную продажу алкогольной продукции, индивидуальных предпринимателей, осуществляющих розничную продажу пива, пивных напитков, сидра, пуаре, медовухи, и признаваемые сельскохозяйственными товаропроизводителями организа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ц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ии, крестьянские (фермерские) хозяйства и индивидуальных предпринимателей, осуществляющих розничную продажу вина (игристого вина), при оказании этими организациями, крестьянскими (фермерскими) хозяйствами и индивидуальными предпринимателями услуг обществен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ного питания.</w:t>
      </w:r>
      <w:r>
        <w:rPr>
          <w:rFonts w:ascii="TimesNewRoman" w:hAnsi="TimesNewRoman" w:eastAsia="TimesNewRoman" w:cs="TimesNewRoman"/>
          <w:color w:val="auto"/>
          <w:sz w:val="28"/>
          <w:lang w:val="ru-RU"/>
        </w:rPr>
        <w:t xml:space="preserve"> </w:t>
      </w:r>
      <w:r>
        <w:rPr>
          <w:color w:val="ff0000"/>
          <w:highlight w:val="none"/>
        </w:rPr>
      </w:r>
      <w:r>
        <w:rPr>
          <w:color w:val="ff0000"/>
          <w:highlight w:val="none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8. Признать утратившими силу </w:t>
      </w:r>
      <w:hyperlink r:id="rId12" w:tooltip="https://login.consultant.ru/link/?req=doc&amp;base=RLAW404&amp;n=36566" w:history="1">
        <w:r>
          <w:rPr>
            <w:rFonts w:ascii="TimesNewRoman" w:hAnsi="TimesNewRoman" w:eastAsia="TimesNewRoman" w:cs="TimesNewRoman"/>
            <w:color w:val="000000"/>
            <w:sz w:val="28"/>
            <w:lang w:val="ru-RU"/>
          </w:rPr>
          <w:t xml:space="preserve">постановления</w:t>
        </w:r>
      </w:hyperlink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 администрации Губкинского городского округа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: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color w:val="000000"/>
          <w:sz w:val="24"/>
          <w:lang w:val="ru-RU"/>
        </w:rPr>
      </w:pP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- </w:t>
      </w: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 от 27 июня 2013 года № 1511-па «Об утв</w:t>
      </w: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ерждении значения расстояния от некоторых организаций и (или) объектов до границ прилегающих территорий, на которых не  допускается  розничная продажа алкогольной продукции, и способа расчета данного расстояния на территории Губкинского городского округа»;</w:t>
      </w:r>
      <w:r>
        <w:rPr>
          <w:rFonts w:ascii="TimesNewRoman" w:hAnsi="TimesNewRoman" w:eastAsia="TimesNewRoman" w:cs="TimesNewRoman"/>
          <w:color w:val="000000"/>
          <w:sz w:val="24"/>
          <w:lang w:val="ru-RU"/>
        </w:rPr>
      </w:r>
      <w:r>
        <w:rPr>
          <w:rFonts w:ascii="TimesNewRoman" w:hAnsi="TimesNewRoman" w:eastAsia="TimesNewRoman" w:cs="TimesNewRoman"/>
          <w:color w:val="000000"/>
          <w:sz w:val="24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color w:val="000000"/>
          <w:sz w:val="28"/>
          <w:szCs w:val="28"/>
          <w:lang w:val="ru-RU"/>
        </w:rPr>
      </w:pP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-</w:t>
      </w: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 от 31 марта 2015 года № 669-па «О внесении изменений в постановление администрации Губкинского городского округа от 27 июня 2013 года </w:t>
        <w:br/>
      </w: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№ 1511-па»;</w:t>
      </w:r>
      <w:r>
        <w:rPr>
          <w:rFonts w:ascii="TimesNewRoman" w:hAnsi="TimesNewRoman" w:eastAsia="TimesNewRoman" w:cs="TimesNewRoman"/>
          <w:color w:val="000000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color w:val="000000"/>
          <w:sz w:val="24"/>
          <w:lang w:val="ru-RU"/>
        </w:rPr>
      </w:pP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- </w:t>
      </w:r>
      <w:r>
        <w:rPr>
          <w:rFonts w:ascii="TimesNewRoman" w:hAnsi="TimesNewRoman" w:eastAsia="TimesNewRoman" w:cs="TimesNewRoman"/>
          <w:color w:val="000000"/>
          <w:sz w:val="28"/>
          <w:lang w:val="ru-RU"/>
        </w:rPr>
        <w:t xml:space="preserve">от 16 апреля 2015 года № 743-па «Об утверждении схем границ прилегающих территорий к организациям и (или) объектам, на которых не допускается розничная продажа алкогольной продукции на территории Губкинского городского округа».</w:t>
      </w:r>
      <w:r>
        <w:rPr>
          <w:rFonts w:ascii="TimesNewRoman" w:hAnsi="TimesNewRoman" w:eastAsia="TimesNewRoman" w:cs="TimesNewRoman"/>
          <w:color w:val="000000"/>
          <w:sz w:val="24"/>
          <w:lang w:val="ru-RU"/>
        </w:rPr>
      </w:r>
      <w:r>
        <w:rPr>
          <w:rFonts w:ascii="TimesNewRoman" w:hAnsi="TimesNewRoman" w:eastAsia="TimesNewRoman" w:cs="TimesNewRoman"/>
          <w:color w:val="000000"/>
          <w:sz w:val="24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9.</w:t>
      </w:r>
      <w:r>
        <w:rPr>
          <w:rFonts w:ascii="TimesNewRoman" w:hAnsi="TimesNewRoman" w:eastAsia="TimesNewRoman" w:cs="TimesNewRoman"/>
          <w:color w:val="000000" w:themeColor="text1"/>
          <w:sz w:val="28"/>
          <w:lang w:val="ru-RU"/>
        </w:rPr>
        <w:t xml:space="preserve">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Контроль за исполнением постановления возложить на заместителя главы администрации по инвестиционной политике и экономическому развитию.</w:t>
      </w:r>
      <w:r>
        <w:rPr>
          <w:rFonts w:ascii="TimesNewRoman" w:hAnsi="TimesNewRoman" w:eastAsia="TimesNewRoman" w:cs="TimesNewRoman"/>
          <w:color w:val="000000" w:themeColor="text1"/>
          <w:sz w:val="28"/>
          <w:lang w:val="ru-RU"/>
        </w:rPr>
        <w:t xml:space="preserve"> 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900"/>
        <w:contextualSpacing w:val="0"/>
        <w:ind w:left="0" w:firstLine="0"/>
        <w:jc w:val="left"/>
        <w:keepLines w:val="0"/>
        <w:keepNext/>
        <w:pageBreakBefore w:val="0"/>
        <w:spacing w:before="0" w:after="0" w:line="240" w:lineRule="auto"/>
        <w:shd w:val="clear" w:color="000000"/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</w:p>
    <w:p>
      <w:pPr>
        <w:pStyle w:val="900"/>
        <w:contextualSpacing w:val="0"/>
        <w:ind w:left="0" w:firstLine="0"/>
        <w:jc w:val="left"/>
        <w:keepLines w:val="0"/>
        <w:keepNext/>
        <w:pageBreakBefore w:val="0"/>
        <w:spacing w:before="0" w:after="0" w:line="240" w:lineRule="auto"/>
        <w:shd w:val="clear" w:color="000000"/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</w:p>
    <w:p>
      <w:pPr>
        <w:pStyle w:val="900"/>
        <w:contextualSpacing w:val="0"/>
        <w:ind w:left="0" w:firstLine="0"/>
        <w:jc w:val="left"/>
        <w:keepLines w:val="0"/>
        <w:keepNext/>
        <w:pageBreakBefore w:val="0"/>
        <w:spacing w:before="0" w:after="0" w:line="240" w:lineRule="auto"/>
        <w:shd w:val="clear" w:color="000000"/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NewRoman" w:hAnsi="TimesNewRoman" w:eastAsia="TimesNewRoman" w:cs="TimesNewRoman"/>
          <w:b/>
          <w:i w:val="0"/>
          <w:caps w:val="0"/>
          <w:smallCaps w:val="0"/>
          <w:color w:val="000000"/>
          <w:spacing w:val="0"/>
          <w:position w:val="0"/>
          <w:sz w:val="28"/>
          <w:highlight w:val="none"/>
          <w:lang w:val="ru-RU"/>
        </w:rPr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strike w:val="0"/>
          <w:color w:val="000000"/>
          <w:spacing w:val="0"/>
          <w:position w:val="0"/>
          <w:sz w:val="28"/>
          <w:szCs w:val="28"/>
          <w:lang w:val="ru-RU"/>
        </w:rPr>
      </w:r>
    </w:p>
    <w:p>
      <w:pPr>
        <w:pStyle w:val="900"/>
        <w:contextualSpacing w:val="0"/>
        <w:ind w:left="0" w:firstLine="0"/>
        <w:jc w:val="left"/>
        <w:keepLines w:val="0"/>
        <w:keepNext/>
        <w:pageBreakBefore w:val="0"/>
        <w:spacing w:before="0" w:after="0" w:line="240" w:lineRule="auto"/>
        <w:shd w:val="clear" w:color="000000"/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color w:val="000000"/>
          <w:spacing w:val="0"/>
          <w:position w:val="0"/>
          <w:sz w:val="28"/>
          <w:szCs w:val="28"/>
          <w:highlight w:val="none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NewRoman" w:hAnsi="TimesNewRoman" w:eastAsia="TimesNewRoman" w:cs="TimesNewRoman"/>
          <w:b/>
          <w:i w:val="0"/>
          <w:caps w:val="0"/>
          <w:smallCaps w:val="0"/>
          <w:color w:val="000000"/>
          <w:spacing w:val="0"/>
          <w:position w:val="0"/>
          <w:sz w:val="28"/>
          <w:lang w:val="ru-RU"/>
        </w:rPr>
        <w:t xml:space="preserve">Глава администрации </w:t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color w:val="000000"/>
          <w:spacing w:val="0"/>
          <w:position w:val="0"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b/>
          <w:bCs w:val="0"/>
          <w:i w:val="0"/>
          <w:caps w:val="0"/>
          <w:smallCaps w:val="0"/>
          <w:color w:val="000000"/>
          <w:spacing w:val="0"/>
          <w:position w:val="0"/>
          <w:sz w:val="28"/>
          <w:szCs w:val="28"/>
          <w:highlight w:val="none"/>
          <w:lang w:val="ru-RU"/>
        </w:rPr>
      </w:r>
    </w:p>
    <w:p>
      <w:pPr>
        <w:pStyle w:val="900"/>
        <w:contextualSpacing w:val="0"/>
        <w:ind w:left="0" w:firstLine="0"/>
        <w:jc w:val="both"/>
        <w:keepLines w:val="0"/>
        <w:keepNext/>
        <w:pageBreakBefore w:val="0"/>
        <w:spacing w:before="0" w:after="0" w:line="240" w:lineRule="auto"/>
        <w:shd w:val="clear" w:color="000000"/>
        <w:tabs>
          <w:tab w:val="left" w:pos="7654" w:leader="none"/>
        </w:tabs>
        <w:rPr>
          <w:rFonts w:ascii="TimesNewRoman" w:hAnsi="TimesNewRoman" w:eastAsia="TimesNewRoman" w:cs="TimesNewRoman"/>
          <w:b/>
          <w:i w:val="0"/>
          <w:caps w:val="0"/>
          <w:smallCaps w:val="0"/>
          <w:strike w:val="0"/>
          <w:color w:val="000000"/>
          <w:spacing w:val="0"/>
          <w:position w:val="0"/>
          <w:sz w:val="24"/>
          <w:lang w:val="ru-RU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NewRoman" w:hAnsi="TimesNewRoman" w:eastAsia="TimesNewRoman" w:cs="TimesNewRoman"/>
          <w:b/>
          <w:i w:val="0"/>
          <w:caps w:val="0"/>
          <w:smallCaps w:val="0"/>
          <w:color w:val="000000"/>
          <w:spacing w:val="0"/>
          <w:position w:val="0"/>
          <w:sz w:val="28"/>
          <w:lang w:val="ru-RU"/>
        </w:rPr>
        <w:t xml:space="preserve">Губкинского городского округа</w:t>
      </w:r>
      <w:r>
        <w:rPr>
          <w:rFonts w:ascii="TimesNewRoman" w:hAnsi="TimesNewRoman" w:eastAsia="TimesNewRoman" w:cs="TimesNewRoman"/>
          <w:b/>
          <w:i w:val="0"/>
          <w:caps w:val="0"/>
          <w:smallCaps w:val="0"/>
          <w:color w:val="000000"/>
          <w:spacing w:val="0"/>
          <w:position w:val="0"/>
          <w:sz w:val="28"/>
          <w:lang w:val="ru-RU"/>
        </w:rPr>
        <w:tab/>
        <w:t xml:space="preserve"> М.А. Лобазнов</w:t>
      </w:r>
      <w:r>
        <w:rPr>
          <w:rFonts w:ascii="TimesNewRoman" w:hAnsi="TimesNewRoman" w:eastAsia="TimesNewRoman" w:cs="TimesNewRoman"/>
          <w:b/>
          <w:i w:val="0"/>
          <w:caps w:val="0"/>
          <w:smallCaps w:val="0"/>
          <w:strike w:val="0"/>
          <w:color w:val="000000"/>
          <w:spacing w:val="0"/>
          <w:position w:val="0"/>
          <w:sz w:val="24"/>
          <w:lang w:val="ru-RU"/>
        </w:rPr>
      </w:r>
      <w:r>
        <w:rPr>
          <w:rFonts w:ascii="TimesNewRoman" w:hAnsi="TimesNewRoman" w:eastAsia="TimesNewRoman" w:cs="TimesNewRoman"/>
          <w:b/>
          <w:i w:val="0"/>
          <w:caps w:val="0"/>
          <w:smallCaps w:val="0"/>
          <w:strike w:val="0"/>
          <w:color w:val="000000"/>
          <w:spacing w:val="0"/>
          <w:position w:val="0"/>
          <w:sz w:val="24"/>
          <w:lang w:val="ru-RU"/>
        </w:rPr>
      </w:r>
    </w:p>
    <w:p>
      <w:pPr>
        <w:shd w:val="nil" w:color="auto"/>
        <w:rPr>
          <w:rFonts w:ascii="TimesNewRoman" w:hAnsi="TimesNewRoman" w:eastAsia="TimesNewRoman" w:cs="TimesNewRoman"/>
          <w:b/>
          <w:bCs/>
          <w:sz w:val="24"/>
          <w:szCs w:val="24"/>
          <w:lang w:val="ru-RU"/>
        </w:rPr>
        <w:outlineLvl w:val="0"/>
      </w:pPr>
      <w:r>
        <w:rPr>
          <w:rFonts w:ascii="TimesNewRoman" w:hAnsi="TimesNewRoman" w:eastAsia="TimesNewRoman" w:cs="TimesNewRoman"/>
          <w:b/>
          <w:sz w:val="28"/>
          <w:szCs w:val="22"/>
          <w:highlight w:val="none"/>
          <w:lang w:val="ru-RU"/>
        </w:rPr>
        <w:br w:type="page" w:clear="all"/>
      </w:r>
      <w:r>
        <w:rPr>
          <w:rFonts w:ascii="TimesNewRoman" w:hAnsi="TimesNewRoman" w:eastAsia="TimesNewRoman" w:cs="TimesNewRoman"/>
          <w:b/>
          <w:bCs/>
          <w:sz w:val="24"/>
          <w:szCs w:val="24"/>
          <w:lang w:val="ru-RU"/>
        </w:rPr>
      </w:r>
      <w:r>
        <w:rPr>
          <w:rFonts w:ascii="TimesNewRoman" w:hAnsi="TimesNewRoman" w:eastAsia="TimesNewRoman" w:cs="TimesNewRoman"/>
          <w:b/>
          <w:bCs/>
          <w:sz w:val="24"/>
          <w:szCs w:val="24"/>
          <w:lang w:val="ru-RU"/>
        </w:rPr>
      </w:r>
    </w:p>
    <w:p>
      <w:pPr>
        <w:pStyle w:val="888"/>
        <w:ind w:left="0"/>
        <w:jc w:val="right"/>
        <w:spacing w:before="0" w:after="200" w:line="276" w:lineRule="auto"/>
        <w:shd w:val="clear" w:color="auto"/>
        <w:rPr>
          <w:rFonts w:ascii="TimesNewRoman" w:hAnsi="TimesNewRoman" w:eastAsia="TimesNewRoman" w:cs="TimesNewRoman"/>
          <w:b/>
          <w:bCs/>
          <w:sz w:val="28"/>
          <w:szCs w:val="28"/>
          <w:highlight w:val="none"/>
          <w:lang w:val="ru-RU"/>
        </w:rPr>
        <w:outlineLvl w:val="0"/>
      </w:pPr>
      <w:r>
        <w:rPr>
          <w:rFonts w:ascii="TimesNewRoman" w:hAnsi="TimesNewRoman" w:eastAsia="TimesNewRoman" w:cs="TimesNewRoman"/>
          <w:b/>
          <w:sz w:val="24"/>
          <w:lang w:val="ru-RU"/>
        </w:rPr>
      </w:r>
      <w:r>
        <w:rPr>
          <w:rFonts w:ascii="TimesNewRoman" w:hAnsi="TimesNewRoman" w:eastAsia="TimesNewRoman" w:cs="TimesNewRoman"/>
          <w:b/>
          <w:sz w:val="28"/>
          <w:szCs w:val="22"/>
          <w:lang w:val="ru-RU"/>
        </w:rPr>
        <w:t xml:space="preserve">Приложение</w:t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none"/>
          <w:lang w:val="ru-RU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none"/>
          <w:lang w:val="ru-RU"/>
        </w:rPr>
      </w:r>
    </w:p>
    <w:p>
      <w:pPr>
        <w:pStyle w:val="891"/>
        <w:ind w:left="4677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  <w:outlineLvl w:val="0"/>
      </w:pPr>
      <w:r>
        <w:rPr>
          <w:rFonts w:ascii="TimesNewRoman" w:hAnsi="TimesNewRoman" w:eastAsia="TimesNewRoman" w:cs="TimesNewRoman"/>
          <w:b/>
          <w:sz w:val="28"/>
          <w:szCs w:val="22"/>
          <w:highlight w:val="none"/>
          <w:lang w:val="ru-RU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  <w:lang w:val="ru-RU"/>
        </w:rPr>
      </w:r>
    </w:p>
    <w:p>
      <w:pPr>
        <w:pStyle w:val="891"/>
        <w:ind w:left="4677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32"/>
          <w:szCs w:val="32"/>
          <w:lang w:val="ru-RU"/>
        </w:rPr>
        <w:outlineLvl w:val="0"/>
      </w:pPr>
      <w:r>
        <w:rPr>
          <w:rFonts w:ascii="TimesNewRoman" w:hAnsi="TimesNewRoman" w:eastAsia="TimesNewRoman" w:cs="TimesNewRoman"/>
          <w:b/>
          <w:sz w:val="28"/>
          <w:szCs w:val="22"/>
          <w:lang w:val="ru-RU"/>
        </w:rPr>
        <w:t xml:space="preserve">УТВЕРЖДЕН</w:t>
      </w:r>
      <w:r>
        <w:rPr>
          <w:rFonts w:ascii="TimesNewRoman" w:hAnsi="TimesNewRoman" w:eastAsia="TimesNewRoman" w:cs="TimesNewRoman"/>
          <w:b/>
          <w:bCs/>
          <w:sz w:val="32"/>
          <w:szCs w:val="32"/>
          <w:lang w:val="ru-RU"/>
        </w:rPr>
      </w:r>
      <w:r>
        <w:rPr>
          <w:rFonts w:ascii="TimesNewRoman" w:hAnsi="TimesNewRoman" w:eastAsia="TimesNewRoman" w:cs="TimesNewRoman"/>
          <w:b/>
          <w:bCs/>
          <w:sz w:val="32"/>
          <w:szCs w:val="32"/>
          <w:lang w:val="ru-RU"/>
        </w:rPr>
      </w:r>
    </w:p>
    <w:p>
      <w:pPr>
        <w:pStyle w:val="891"/>
        <w:ind w:left="4677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32"/>
          <w:szCs w:val="24"/>
          <w:lang w:val="ru-RU"/>
        </w:rPr>
      </w:pPr>
      <w:r>
        <w:rPr>
          <w:rFonts w:ascii="TimesNewRoman" w:hAnsi="TimesNewRoman" w:eastAsia="TimesNewRoman" w:cs="TimesNewRoman"/>
          <w:b/>
          <w:sz w:val="28"/>
          <w:szCs w:val="22"/>
          <w:lang w:val="ru-RU"/>
        </w:rPr>
        <w:t xml:space="preserve">постановлением</w:t>
      </w:r>
      <w:r>
        <w:rPr>
          <w:rFonts w:ascii="TimesNewRoman" w:hAnsi="TimesNewRoman" w:eastAsia="TimesNewRoman" w:cs="TimesNewRoman"/>
          <w:b/>
          <w:sz w:val="32"/>
          <w:szCs w:val="24"/>
          <w:lang w:val="ru-RU"/>
        </w:rPr>
        <w:t xml:space="preserve"> </w:t>
      </w:r>
      <w:r>
        <w:rPr>
          <w:rFonts w:ascii="TimesNewRoman" w:hAnsi="TimesNewRoman" w:eastAsia="TimesNewRoman" w:cs="TimesNewRoman"/>
          <w:b/>
          <w:sz w:val="28"/>
          <w:szCs w:val="22"/>
          <w:lang w:val="ru-RU"/>
        </w:rPr>
        <w:t xml:space="preserve">администрации Губкинского</w:t>
      </w:r>
      <w:r>
        <w:rPr>
          <w:rFonts w:ascii="TimesNewRoman" w:hAnsi="TimesNewRoman" w:eastAsia="TimesNewRoman" w:cs="TimesNewRoman"/>
          <w:b/>
          <w:sz w:val="32"/>
          <w:szCs w:val="24"/>
          <w:lang w:val="ru-RU"/>
        </w:rPr>
        <w:t xml:space="preserve"> </w:t>
      </w:r>
      <w:r>
        <w:rPr>
          <w:rFonts w:ascii="TimesNewRoman" w:hAnsi="TimesNewRoman" w:eastAsia="TimesNewRoman" w:cs="TimesNewRoman"/>
          <w:b/>
          <w:sz w:val="28"/>
          <w:szCs w:val="22"/>
          <w:lang w:val="ru-RU"/>
        </w:rPr>
        <w:t xml:space="preserve">городского округа</w:t>
      </w:r>
      <w:r>
        <w:rPr>
          <w:rFonts w:ascii="TimesNewRoman" w:hAnsi="TimesNewRoman" w:eastAsia="TimesNewRoman" w:cs="TimesNewRoman"/>
          <w:b/>
          <w:sz w:val="32"/>
          <w:szCs w:val="24"/>
          <w:lang w:val="ru-RU"/>
        </w:rPr>
      </w:r>
      <w:r>
        <w:rPr>
          <w:rFonts w:ascii="TimesNewRoman" w:hAnsi="TimesNewRoman" w:eastAsia="TimesNewRoman" w:cs="TimesNewRoman"/>
          <w:b/>
          <w:sz w:val="32"/>
          <w:szCs w:val="24"/>
          <w:lang w:val="ru-RU"/>
        </w:rPr>
      </w:r>
    </w:p>
    <w:p>
      <w:pPr>
        <w:pStyle w:val="891"/>
        <w:ind w:left="4677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sz w:val="36"/>
          <w:szCs w:val="24"/>
          <w:lang w:val="ru-RU"/>
        </w:rPr>
      </w:pPr>
      <w:r>
        <w:rPr>
          <w:rFonts w:ascii="TimesNewRoman" w:hAnsi="TimesNewRoman" w:eastAsia="TimesNewRoman" w:cs="TimesNewRoman"/>
          <w:b/>
          <w:sz w:val="28"/>
          <w:szCs w:val="22"/>
          <w:lang w:val="ru-RU"/>
        </w:rPr>
        <w:t xml:space="preserve">от « ____ » _________ 2024 г. № ______</w:t>
      </w:r>
      <w:r>
        <w:rPr>
          <w:rFonts w:ascii="TimesNewRoman" w:hAnsi="TimesNewRoman" w:eastAsia="TimesNewRoman" w:cs="TimesNewRoman"/>
          <w:sz w:val="36"/>
          <w:szCs w:val="24"/>
          <w:lang w:val="ru-RU"/>
        </w:rPr>
      </w:r>
      <w:r>
        <w:rPr>
          <w:rFonts w:ascii="TimesNewRoman" w:hAnsi="TimesNewRoman" w:eastAsia="TimesNewRoman" w:cs="TimesNewRoman"/>
          <w:sz w:val="36"/>
          <w:szCs w:val="24"/>
          <w:lang w:val="ru-RU"/>
        </w:rPr>
      </w:r>
    </w:p>
    <w:p>
      <w:pPr>
        <w:pStyle w:val="891"/>
        <w:ind w:left="4677" w:righ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szCs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</w:p>
    <w:p>
      <w:pPr>
        <w:pStyle w:val="891"/>
        <w:ind w:left="4677" w:righ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szCs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  <w:r>
        <w:rPr>
          <w:rFonts w:ascii="TimesNewRoman" w:hAnsi="TimesNewRoman" w:eastAsia="TimesNewRoman" w:cs="TimesNewRoman"/>
          <w:sz w:val="28"/>
          <w:szCs w:val="28"/>
          <w:lang w:val="ru-RU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lang w:val="ru-RU"/>
        </w:rPr>
      </w:r>
      <w:bookmarkStart w:id="6" w:name="Par73"/>
      <w:r>
        <w:rPr>
          <w:lang w:val="ru-RU"/>
        </w:rPr>
      </w:r>
      <w:bookmarkEnd w:id="6"/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Порядок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определения границ прилегающих территорий, на которых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не допускаются розничная продажа алкогольной продукции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и розничная продажа алкогольной продукции при оказании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8"/>
          <w:lang w:val="ru-RU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услуг общественного питания, на территории</w:t>
      </w:r>
      <w:r>
        <w:rPr>
          <w:rFonts w:ascii="TimesNewRoman" w:hAnsi="TimesNewRoman" w:eastAsia="TimesNewRoman" w:cs="TimesNewRoman"/>
          <w:b/>
          <w:sz w:val="28"/>
          <w:lang w:val="ru-RU"/>
        </w:rPr>
      </w:r>
      <w:r>
        <w:rPr>
          <w:rFonts w:ascii="TimesNewRoman" w:hAnsi="TimesNewRoman" w:eastAsia="TimesNewRoman" w:cs="TimesNewRoman"/>
          <w:b/>
          <w:sz w:val="28"/>
          <w:lang w:val="ru-RU"/>
        </w:rPr>
      </w:r>
    </w:p>
    <w:p>
      <w:pPr>
        <w:pStyle w:val="891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</w:rPr>
      </w:pPr>
      <w:r>
        <w:rPr>
          <w:rFonts w:ascii="TimesNewRoman" w:hAnsi="TimesNewRoman" w:eastAsia="TimesNewRoman" w:cs="TimesNewRoman"/>
          <w:b/>
          <w:sz w:val="28"/>
          <w:lang w:val="ru-RU"/>
        </w:rPr>
        <w:t xml:space="preserve">Губкинского городского окру</w:t>
      </w:r>
      <w:r>
        <w:rPr>
          <w:rFonts w:ascii="TimesNewRoman" w:hAnsi="TimesNewRoman" w:eastAsia="TimesNewRoman" w:cs="TimesNewRoman"/>
          <w:b/>
          <w:bCs/>
          <w:sz w:val="28"/>
          <w:lang w:val="ru-RU"/>
        </w:rPr>
        <w:t xml:space="preserve">га</w:t>
      </w:r>
      <w:r>
        <w:rPr>
          <w:rFonts w:ascii="TimesNewRoman" w:hAnsi="TimesNewRoman" w:eastAsia="TimesNewRoman" w:cs="TimesNewRoman"/>
          <w:b/>
          <w:bCs/>
          <w:sz w:val="28"/>
          <w:lang w:val="ru-RU"/>
        </w:rPr>
        <w:t xml:space="preserve"> </w:t>
      </w:r>
      <w:r>
        <w:rPr>
          <w:rFonts w:ascii="TimesNewRoman" w:hAnsi="TimesNewRoman" w:eastAsia="TimesNewRoman" w:cs="TimesNewRoman"/>
          <w:b/>
          <w:bCs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b/>
          <w:bCs/>
          <w:sz w:val="28"/>
        </w:rPr>
      </w:r>
      <w:r>
        <w:rPr>
          <w:rFonts w:ascii="TimesNewRoman" w:hAnsi="TimesNewRoman" w:eastAsia="TimesNewRoman" w:cs="TimesNewRoman"/>
          <w:b/>
          <w:bCs/>
          <w:sz w:val="28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1. Расчет расстояния от организации и (или) объектов, указанных в пунктах 1 - 4 настоящего по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становления, до границ прилегающих территорий, на которых не допускаются розничная продажа алкогольной продукции и розничная продажа алкогольной продукции при оказании услуг общественного питания, на территории Губкинского городского округа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Белгородской области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осуществляется: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1) при наличии обособленной территории - от ближайшего входа для посетителей на обособленную территорию к объектам,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указанным в пунктах </w:t>
        <w:br/>
        <w:t xml:space="preserve">1 - 4 настоящего по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становления,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 до ближайшего входа для посетителей в торговый объект или объект общественного питания;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2) при отсутствии обособленной территории - от ближайшего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входа для посетителей в здание (строение, сооружение), помещение, в которых расположены организации и (или) объекты, указанные в пунктах 1 - 4 настоящего постановления, до ближайшего входа для посетителей в торговый объект или объект общественного питания.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Пожарные, запасные и иные входы (выходы) в здания, строения, сооружения, которые не предназначены для входа (выхода) посетителей, при определении границ прилегающих территорий не учитываются.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Под обособленной террито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рией понимается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пунктах 1 - 4 настоящего постановления.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2. Расчет расстояния от объектов, указанных в пункте 5 настоящего постановления, осуществляется от входа в ближайший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подъезд многоквартирного дома до ближайшего входа для посетителей в объект общественного питания, осуществляющий розничную продажу алкогольной продукции и имеющий зал обслуживания посетителей общей площадью менее 20 квадратных метров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3. Замер расстояний осуществля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ется с учетом сложившейся системы дорог, тротуаров, пешеходных путей (при их отсутствии - по обочинам, велосипедным дорожкам, краям проезжих частей) по кратчайшему маршруту движения пешехода от ближайшего входа для посетителей на обособленную территорию (п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ри ее наличии) или в здание (строение, сооружение), помещение, в котором расположены перечисленные в пунктах 1 - 5 настоящего постановления организации и (или) объекты, до ближайшего входа для посетителей в торговый объект или объект общественного питания.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Пр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и пересечении пешеходной зоны с проезжей частью расстояние измеряется в жилой зоне, в том числе на дворовых территориях, по маршруту движения пешеходов как по тротуарам, так и по проезжей части, за пределами жилой зоны - по ближайшему пешеходному переходу.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54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  <w:t xml:space="preserve">4. В случае если организации, указанные в абзаце третьем пункта 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1, юридические лица независимо от организационно-правовой формы, индивидуальные предприниматели, указанные в пункте 2 настоящего постановления, и торговые объекты или объекты общественного питания находятся в одном здании (строении, сооружении) многофункци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онального назначения с общим входом для посетителей, расчет расстояния производится по кратчайшему пути (в том числе с использованием лифтов и лестничных пролетов) внутри здания (строения, сооружения) от входа в помещения, в которых расположены организации</w:t>
      </w:r>
      <w:r>
        <w:rPr>
          <w:rFonts w:ascii="TimesNewRoman" w:hAnsi="TimesNewRoman" w:eastAsia="TimesNewRoman" w:cs="TimesNewRoman"/>
          <w:sz w:val="28"/>
          <w:lang w:val="ru-RU"/>
        </w:rPr>
        <w:t xml:space="preserve">, указанные в абзаце третьем пункта 1, юридические лица независимо от организационно-правовой формы, индивидуальные предприниматели, указанные в пункте 2 настоящего постановления, до входа для посетителей в торговый объект или объект общественного питания.</w:t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8"/>
          <w:lang w:val="ru-RU"/>
        </w:rPr>
      </w:pP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  <w:r>
        <w:rPr>
          <w:rFonts w:ascii="TimesNewRoman" w:hAnsi="TimesNewRoman" w:eastAsia="TimesNewRoman" w:cs="TimesNewRoman"/>
          <w:sz w:val="28"/>
          <w:lang w:val="ru-RU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color w:val="auto"/>
          <w:sz w:val="28"/>
          <w:szCs w:val="28"/>
        </w:rPr>
      </w:pPr>
      <w:r>
        <w:rPr>
          <w:rFonts w:ascii="TimesNewRoman" w:hAnsi="TimesNewRoman" w:eastAsia="TimesNewRoman" w:cs="TimesNewRoman"/>
          <w:color w:val="auto"/>
          <w:sz w:val="28"/>
        </w:rPr>
      </w:r>
      <w:r>
        <w:rPr>
          <w:rFonts w:ascii="TimesNewRoman" w:hAnsi="TimesNewRoman" w:eastAsia="TimesNewRoman" w:cs="TimesNewRoman"/>
          <w:color w:val="auto"/>
          <w:sz w:val="28"/>
          <w:szCs w:val="28"/>
        </w:rPr>
      </w:r>
      <w:r>
        <w:rPr>
          <w:rFonts w:ascii="TimesNewRoman" w:hAnsi="TimesNewRoman" w:eastAsia="TimesNewRoman" w:cs="TimesNewRoman"/>
          <w:color w:val="auto"/>
          <w:sz w:val="28"/>
          <w:szCs w:val="28"/>
        </w:rPr>
      </w:r>
    </w:p>
    <w:p>
      <w:pPr>
        <w:pStyle w:val="891"/>
        <w:ind w:left="0" w:firstLine="0"/>
        <w:jc w:val="both"/>
        <w:spacing w:before="0" w:after="0" w:afterAutospacing="0" w:line="240" w:lineRule="auto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eastAsia="Times New Roman" w:cs="Times New Roman"/>
          <w:color w:val="ffffff" w:themeColor="background1"/>
          <w:sz w:val="28"/>
          <w:lang w:val="ru-RU"/>
        </w:rPr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</w:r>
    </w:p>
    <w:p>
      <w:pPr>
        <w:spacing w:after="0" w:afterAutospacing="0" w:line="240" w:lineRule="exact"/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val="ru-RU"/>
        </w:rPr>
        <w:t xml:space="preserve">Начальник отдела</w:t>
      </w:r>
      <w: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r>
      <w: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r>
    </w:p>
    <w:p>
      <w:pPr>
        <w:jc w:val="both"/>
        <w:spacing w:after="0" w:afterAutospacing="0"/>
        <w:widowControl w:val="off"/>
        <w:tabs>
          <w:tab w:val="left" w:pos="7654" w:leader="none"/>
          <w:tab w:val="left" w:pos="7795" w:leader="none"/>
        </w:tabs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val="ru-RU"/>
        </w:rPr>
        <w:t xml:space="preserve">защиты прав потребителей</w:t>
      </w:r>
      <w:r>
        <w:rPr>
          <w:rFonts w:ascii="Times New Roman" w:hAnsi="Times New Roman" w:eastAsia="Times New Roman" w:cs="Times New Roman"/>
          <w:b/>
          <w:color w:val="ffffff" w:themeColor="background1"/>
          <w:sz w:val="28"/>
          <w:szCs w:val="28"/>
          <w:lang w:val="ru-RU"/>
        </w:rPr>
        <w:tab/>
        <w:t xml:space="preserve"> Т.С. Королева </w:t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</w:r>
      <w:r>
        <w:rPr>
          <w:rFonts w:ascii="Times New Roman" w:hAnsi="Times New Roman" w:cs="Times New Roman"/>
          <w:color w:val="ffffff" w:themeColor="background1"/>
          <w:sz w:val="28"/>
          <w:szCs w:val="28"/>
        </w:rPr>
      </w:r>
    </w:p>
    <w:p>
      <w:pPr>
        <w:pStyle w:val="891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color w:val="ffffff" w:themeColor="background1"/>
          <w:sz w:val="28"/>
        </w:rPr>
      </w:pPr>
      <w:r>
        <w:rPr>
          <w:rFonts w:ascii="TimesNewRoman" w:hAnsi="TimesNewRoman" w:eastAsia="TimesNewRoman" w:cs="TimesNewRoman"/>
          <w:color w:val="ffffff" w:themeColor="background1"/>
          <w:sz w:val="28"/>
          <w:lang w:val="ru-RU"/>
        </w:rPr>
      </w:r>
      <w:r>
        <w:rPr>
          <w:rFonts w:ascii="TimesNewRoman" w:hAnsi="TimesNewRoman" w:eastAsia="TimesNewRoman" w:cs="TimesNewRoman"/>
          <w:color w:val="ffffff" w:themeColor="background1"/>
          <w:sz w:val="28"/>
        </w:rPr>
      </w:r>
      <w:r>
        <w:rPr>
          <w:rFonts w:ascii="TimesNewRoman" w:hAnsi="TimesNewRoman" w:eastAsia="TimesNewRoman" w:cs="TimesNewRoman"/>
          <w:color w:val="ffffff" w:themeColor="background1"/>
          <w:sz w:val="28"/>
        </w:rPr>
      </w:r>
    </w:p>
    <w:sectPr>
      <w:headerReference w:type="default" r:id="rId9"/>
      <w:headerReference w:type="first" r:id="rId10"/>
      <w:footerReference w:type="first" r:id="rId11"/>
      <w:footnotePr>
        <w:pos w:val="pageBottom"/>
      </w:footnotePr>
      <w:endnotePr/>
      <w:type w:val="nextPage"/>
      <w:pgSz w:w="11906" w:h="16838" w:orient="portrait"/>
      <w:pgMar w:top="1015" w:right="710" w:bottom="1083" w:left="1558" w:header="448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88"/>
        <w:ind w:left="0"/>
        <w:jc w:val="left"/>
        <w:spacing w:before="0" w:after="200" w:line="276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endnote>
  <w:endnote w:type="continuationSeparator" w:id="0">
    <w:p>
      <w:pPr>
        <w:pStyle w:val="888"/>
        <w:ind w:left="0"/>
        <w:jc w:val="left"/>
        <w:spacing w:before="0" w:after="200" w:line="276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Narrow">
    <w:panose1 w:val="020B0604020202020204"/>
  </w:font>
  <w:font w:name="CourierNew">
    <w:panose1 w:val="02070309020205020404"/>
  </w:font>
  <w:font w:name="TimesNew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  <w:ind w:left="0"/>
      <w:jc w:val="left"/>
      <w:spacing w:before="0" w:after="0" w:line="240" w:lineRule="auto"/>
      <w:tabs>
        <w:tab w:val="center" w:pos="7143" w:leader="none"/>
        <w:tab w:val="right" w:pos="14287" w:leader="none"/>
      </w:tabs>
      <w:rPr>
        <w:rFonts w:ascii="Calibri" w:hAnsi="Calibri" w:eastAsia="Calibri" w:cs="Calibri"/>
        <w:sz w:val="22"/>
      </w:rPr>
    </w:pPr>
    <w:r>
      <w:rPr>
        <w:rFonts w:ascii="Calibri" w:hAnsi="Calibri" w:eastAsia="Calibri" w:cs="Calibri"/>
        <w:sz w:val="22"/>
      </w:rPr>
    </w:r>
    <w:r>
      <w:rPr>
        <w:rFonts w:ascii="Calibri" w:hAnsi="Calibri" w:eastAsia="Calibri" w:cs="Calibri"/>
        <w:sz w:val="22"/>
      </w:rPr>
    </w:r>
    <w:r>
      <w:rPr>
        <w:rFonts w:ascii="Calibri" w:hAnsi="Calibri" w:eastAsia="Calibri" w:cs="Calibri"/>
        <w:sz w:val="2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88"/>
        <w:ind w:left="0"/>
        <w:jc w:val="left"/>
        <w:spacing w:before="0" w:after="200" w:line="276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footnote>
  <w:footnote w:type="continuationSeparator" w:id="0">
    <w:p>
      <w:pPr>
        <w:pStyle w:val="888"/>
        <w:ind w:left="0"/>
        <w:jc w:val="left"/>
        <w:spacing w:before="0" w:after="200" w:line="276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continuationSeparato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  <w:ind w:left="0"/>
      <w:jc w:val="center"/>
      <w:spacing w:before="0" w:after="0" w:line="240" w:lineRule="auto"/>
      <w:tabs>
        <w:tab w:val="center" w:pos="7143" w:leader="none"/>
        <w:tab w:val="right" w:pos="14287" w:leader="none"/>
      </w:tabs>
      <w:rPr>
        <w:rFonts w:ascii="Calibri" w:hAnsi="Calibri" w:eastAsia="Calibri" w:cs="Calibri"/>
        <w:sz w:val="22"/>
      </w:rPr>
    </w:pPr>
    <w:r>
      <w:rPr>
        <w:rFonts w:ascii="Calibri" w:hAnsi="Calibri" w:eastAsia="Calibri" w:cs="Calibri"/>
        <w:sz w:val="22"/>
      </w:rPr>
      <w:fldChar w:fldCharType="begin"/>
    </w:r>
    <w:r>
      <w:rPr>
        <w:rFonts w:ascii="Calibri" w:hAnsi="Calibri" w:eastAsia="Calibri" w:cs="Calibri"/>
        <w:sz w:val="22"/>
      </w:rPr>
      <w:instrText xml:space="preserve"> PAGE  MERGEFORMAT</w:instrText>
    </w:r>
    <w:r>
      <w:fldChar w:fldCharType="separate"/>
    </w:r>
    <w:r>
      <w:rPr>
        <w:rFonts w:ascii="Calibri" w:hAnsi="Calibri" w:eastAsia="Calibri" w:cs="Calibri"/>
        <w:sz w:val="22"/>
      </w:rPr>
      <w:t xml:space="preserve">1</w:t>
    </w:r>
    <w:r>
      <w:fldChar w:fldCharType="end"/>
    </w:r>
    <w:r>
      <w:rPr>
        <w:rFonts w:ascii="Calibri" w:hAnsi="Calibri" w:eastAsia="Calibri" w:cs="Calibri"/>
        <w:sz w:val="22"/>
      </w:rPr>
    </w:r>
    <w:r>
      <w:rPr>
        <w:rFonts w:ascii="Calibri" w:hAnsi="Calibri" w:eastAsia="Calibri" w:cs="Calibri"/>
        <w:sz w:val="22"/>
      </w:rPr>
    </w:r>
  </w:p>
  <w:p>
    <w:pPr>
      <w:pStyle w:val="738"/>
      <w:ind w:left="0"/>
      <w:jc w:val="left"/>
      <w:spacing w:before="0" w:after="0" w:line="240" w:lineRule="auto"/>
      <w:tabs>
        <w:tab w:val="center" w:pos="7143" w:leader="none"/>
        <w:tab w:val="right" w:pos="14287" w:leader="none"/>
      </w:tabs>
      <w:rPr>
        <w:rFonts w:ascii="Calibri" w:hAnsi="Calibri" w:eastAsia="Calibri" w:cs="Calibri"/>
        <w:sz w:val="22"/>
      </w:rPr>
    </w:pPr>
    <w:r>
      <w:rPr>
        <w:rFonts w:ascii="Calibri" w:hAnsi="Calibri" w:eastAsia="Calibri" w:cs="Calibri"/>
        <w:sz w:val="22"/>
      </w:rPr>
    </w:r>
    <w:r>
      <w:rPr>
        <w:rFonts w:ascii="Calibri" w:hAnsi="Calibri" w:eastAsia="Calibri" w:cs="Calibri"/>
        <w:sz w:val="22"/>
      </w:rPr>
    </w:r>
    <w:r>
      <w:rPr>
        <w:rFonts w:ascii="Calibri" w:hAnsi="Calibri" w:eastAsia="Calibri" w:cs="Calibri"/>
        <w:sz w:val="22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  <w:ind w:left="0"/>
      <w:jc w:val="left"/>
      <w:spacing w:before="0" w:after="0" w:line="240" w:lineRule="auto"/>
      <w:tabs>
        <w:tab w:val="center" w:pos="7143" w:leader="none"/>
        <w:tab w:val="right" w:pos="14287" w:leader="none"/>
      </w:tabs>
      <w:rPr>
        <w:rFonts w:ascii="Calibri" w:hAnsi="Calibri" w:eastAsia="Calibri" w:cs="Calibri"/>
        <w:sz w:val="22"/>
      </w:rPr>
    </w:pPr>
    <w:r>
      <w:rPr>
        <w:rFonts w:ascii="Calibri" w:hAnsi="Calibri" w:eastAsia="Calibri" w:cs="Calibri"/>
        <w:sz w:val="22"/>
      </w:rPr>
    </w:r>
    <w:r>
      <w:rPr>
        <w:rFonts w:ascii="Calibri" w:hAnsi="Calibri" w:eastAsia="Calibri" w:cs="Calibri"/>
        <w:sz w:val="22"/>
      </w:rPr>
    </w:r>
    <w:r>
      <w:rPr>
        <w:rFonts w:ascii="Calibri" w:hAnsi="Calibri" w:eastAsia="Calibri" w:cs="Calibri"/>
        <w:sz w:val="2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·"/>
      <w:lvlJc w:val="left"/>
      <w:pPr>
        <w:ind w:hanging="360"/>
      </w:pPr>
    </w:lvl>
    <w:lvl w:ilvl="1">
      <w:start w:val="1"/>
      <w:numFmt w:val="lowerLetter"/>
      <w:isLgl w:val="false"/>
      <w:suff w:val="tab"/>
      <w:lvlText w:val="o"/>
      <w:lvlJc w:val="left"/>
      <w:pPr>
        <w:ind w:hanging="360"/>
      </w:pPr>
    </w:lvl>
    <w:lvl w:ilvl="2">
      <w:start w:val="1"/>
      <w:numFmt w:val="lowerRoman"/>
      <w:isLgl w:val="false"/>
      <w:suff w:val="tab"/>
      <w:lvlText w:val="§"/>
      <w:lvlJc w:val="right"/>
      <w:pPr>
        <w:ind w:hanging="180"/>
      </w:pPr>
    </w:lvl>
    <w:lvl w:ilvl="3">
      <w:start w:val="1"/>
      <w:numFmt w:val="decimal"/>
      <w:isLgl w:val="false"/>
      <w:suff w:val="tab"/>
      <w:lvlText w:val="·"/>
      <w:lvlJc w:val="left"/>
      <w:pPr>
        <w:ind w:hanging="360"/>
      </w:pPr>
    </w:lvl>
    <w:lvl w:ilvl="4">
      <w:start w:val="1"/>
      <w:numFmt w:val="lowerLetter"/>
      <w:isLgl w:val="false"/>
      <w:suff w:val="tab"/>
      <w:lvlText w:val="o"/>
      <w:lvlJc w:val="left"/>
      <w:pPr>
        <w:ind w:hanging="360"/>
      </w:pPr>
    </w:lvl>
    <w:lvl w:ilvl="5">
      <w:start w:val="1"/>
      <w:numFmt w:val="lowerRoman"/>
      <w:isLgl w:val="false"/>
      <w:suff w:val="tab"/>
      <w:lvlText w:val="§"/>
      <w:lvlJc w:val="right"/>
      <w:pPr>
        <w:ind w:hanging="180"/>
      </w:pPr>
    </w:lvl>
    <w:lvl w:ilvl="6">
      <w:start w:val="1"/>
      <w:numFmt w:val="decimal"/>
      <w:isLgl w:val="false"/>
      <w:suff w:val="tab"/>
      <w:lvlText w:val="·"/>
      <w:lvlJc w:val="left"/>
      <w:pPr>
        <w:ind w:hanging="360"/>
      </w:pPr>
    </w:lvl>
    <w:lvl w:ilvl="7">
      <w:start w:val="1"/>
      <w:numFmt w:val="lowerLetter"/>
      <w:isLgl w:val="false"/>
      <w:suff w:val="tab"/>
      <w:lvlText w:val="o"/>
      <w:lvlJc w:val="left"/>
      <w:pPr>
        <w:ind w:hanging="360"/>
      </w:pPr>
    </w:lvl>
    <w:lvl w:ilvl="8">
      <w:start w:val="1"/>
      <w:numFmt w:val="lowerRoman"/>
      <w:isLgl w:val="false"/>
      <w:suff w:val="tab"/>
      <w:lvlText w:val="§"/>
      <w:lvlJc w:val="right"/>
      <w:pPr>
        <w:ind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>
    <w:name w:val="Heading 1"/>
    <w:basedOn w:val="888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711">
    <w:name w:val="Heading 1 Char"/>
    <w:basedOn w:val="889"/>
    <w:rPr>
      <w:rFonts w:ascii="Arial" w:hAnsi="Arial" w:eastAsia="Arial" w:cs="Arial"/>
      <w:sz w:val="40"/>
    </w:rPr>
  </w:style>
  <w:style w:type="paragraph" w:styleId="712">
    <w:name w:val="Heading 2"/>
    <w:basedOn w:val="888"/>
    <w:unhideWhenUsed/>
    <w:qFormat/>
    <w:pPr>
      <w:jc w:val="left"/>
      <w:keepLines/>
      <w:keepNext/>
      <w:spacing w:before="360" w:after="200" w:line="240" w:lineRule="auto"/>
      <w:outlineLvl w:val="1"/>
    </w:pPr>
    <w:rPr>
      <w:rFonts w:ascii="Arial" w:hAnsi="Arial" w:eastAsia="Arial" w:cs="Arial"/>
      <w:sz w:val="34"/>
    </w:rPr>
  </w:style>
  <w:style w:type="character" w:styleId="713">
    <w:name w:val="Heading 2 Char"/>
    <w:basedOn w:val="889"/>
    <w:rPr>
      <w:rFonts w:ascii="Arial" w:hAnsi="Arial" w:eastAsia="Arial" w:cs="Arial"/>
      <w:sz w:val="34"/>
    </w:rPr>
  </w:style>
  <w:style w:type="paragraph" w:styleId="714">
    <w:name w:val="Heading 3"/>
    <w:basedOn w:val="888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715">
    <w:name w:val="Heading 3 Char"/>
    <w:basedOn w:val="889"/>
    <w:rPr>
      <w:rFonts w:ascii="Arial" w:hAnsi="Arial" w:eastAsia="Arial" w:cs="Arial"/>
      <w:sz w:val="30"/>
    </w:rPr>
  </w:style>
  <w:style w:type="paragraph" w:styleId="716">
    <w:name w:val="Heading 4"/>
    <w:basedOn w:val="888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717">
    <w:name w:val="Heading 4 Char"/>
    <w:basedOn w:val="889"/>
    <w:rPr>
      <w:rFonts w:ascii="Arial" w:hAnsi="Arial" w:eastAsia="Arial" w:cs="Arial"/>
      <w:b/>
      <w:sz w:val="26"/>
    </w:rPr>
  </w:style>
  <w:style w:type="paragraph" w:styleId="718">
    <w:name w:val="Heading 5"/>
    <w:basedOn w:val="888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719">
    <w:name w:val="Heading 5 Char"/>
    <w:basedOn w:val="889"/>
    <w:rPr>
      <w:rFonts w:ascii="Arial" w:hAnsi="Arial" w:eastAsia="Arial" w:cs="Arial"/>
      <w:b/>
      <w:sz w:val="24"/>
    </w:rPr>
  </w:style>
  <w:style w:type="paragraph" w:styleId="720">
    <w:name w:val="Heading 6"/>
    <w:basedOn w:val="888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721">
    <w:name w:val="Heading 6 Char"/>
    <w:basedOn w:val="889"/>
    <w:rPr>
      <w:rFonts w:ascii="Arial" w:hAnsi="Arial" w:eastAsia="Arial" w:cs="Arial"/>
      <w:b/>
      <w:sz w:val="22"/>
    </w:rPr>
  </w:style>
  <w:style w:type="paragraph" w:styleId="722">
    <w:name w:val="Heading 7"/>
    <w:basedOn w:val="888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723">
    <w:name w:val="Heading 7 Char"/>
    <w:basedOn w:val="889"/>
    <w:rPr>
      <w:rFonts w:ascii="Arial" w:hAnsi="Arial" w:eastAsia="Arial" w:cs="Arial"/>
      <w:b/>
      <w:i/>
      <w:sz w:val="22"/>
    </w:rPr>
  </w:style>
  <w:style w:type="paragraph" w:styleId="724">
    <w:name w:val="Heading 8"/>
    <w:basedOn w:val="888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725">
    <w:name w:val="Heading 8 Char"/>
    <w:basedOn w:val="889"/>
    <w:rPr>
      <w:rFonts w:ascii="Arial" w:hAnsi="Arial" w:eastAsia="Arial" w:cs="Arial"/>
      <w:i/>
      <w:sz w:val="22"/>
    </w:rPr>
  </w:style>
  <w:style w:type="paragraph" w:styleId="726">
    <w:name w:val="Heading 9"/>
    <w:basedOn w:val="888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27">
    <w:name w:val="Heading 9 Char"/>
    <w:basedOn w:val="889"/>
    <w:rPr>
      <w:rFonts w:ascii="Arial" w:hAnsi="Arial" w:eastAsia="Arial" w:cs="Arial"/>
      <w:i/>
      <w:sz w:val="21"/>
    </w:rPr>
  </w:style>
  <w:style w:type="paragraph" w:styleId="728">
    <w:name w:val="List Paragraph"/>
    <w:basedOn w:val="888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29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30">
    <w:name w:val="Title"/>
    <w:basedOn w:val="888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731">
    <w:name w:val="Title Char"/>
    <w:basedOn w:val="889"/>
    <w:rPr>
      <w:rFonts w:ascii="Arial" w:hAnsi="Arial" w:eastAsia="Arial" w:cs="Arial"/>
      <w:sz w:val="48"/>
    </w:rPr>
  </w:style>
  <w:style w:type="paragraph" w:styleId="732">
    <w:name w:val="Subtitle"/>
    <w:basedOn w:val="888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733">
    <w:name w:val="Subtitle Char"/>
    <w:basedOn w:val="889"/>
    <w:rPr>
      <w:rFonts w:ascii="Arial" w:hAnsi="Arial" w:eastAsia="Arial" w:cs="Arial"/>
      <w:sz w:val="24"/>
    </w:rPr>
  </w:style>
  <w:style w:type="paragraph" w:styleId="734">
    <w:name w:val="Quote"/>
    <w:basedOn w:val="888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735">
    <w:name w:val="Quote Char"/>
    <w:rPr>
      <w:rFonts w:ascii="Arial" w:hAnsi="Arial" w:eastAsia="Arial" w:cs="Arial"/>
      <w:i/>
      <w:sz w:val="24"/>
    </w:rPr>
  </w:style>
  <w:style w:type="paragraph" w:styleId="736">
    <w:name w:val="Intense Quote"/>
    <w:basedOn w:val="888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37">
    <w:name w:val="Intense Quote Char"/>
    <w:rPr>
      <w:rFonts w:ascii="Arial" w:hAnsi="Arial" w:eastAsia="Arial" w:cs="Arial"/>
      <w:i/>
      <w:sz w:val="24"/>
    </w:rPr>
  </w:style>
  <w:style w:type="paragraph" w:styleId="738">
    <w:name w:val="Header"/>
    <w:basedOn w:val="888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39">
    <w:name w:val="Header Char"/>
    <w:basedOn w:val="889"/>
    <w:rPr>
      <w:rFonts w:ascii="Arial" w:hAnsi="Arial" w:eastAsia="Arial" w:cs="Arial"/>
      <w:sz w:val="24"/>
    </w:rPr>
  </w:style>
  <w:style w:type="paragraph" w:styleId="740">
    <w:name w:val="Footer"/>
    <w:basedOn w:val="888"/>
    <w:unhideWhenUsed/>
    <w:pPr>
      <w:jc w:val="left"/>
      <w:spacing w:before="0" w:after="0" w:line="240" w:lineRule="auto"/>
      <w:tabs>
        <w:tab w:val="center" w:pos="7143" w:leader="none"/>
        <w:tab w:val="right" w:pos="14287" w:leader="none"/>
      </w:tabs>
    </w:pPr>
    <w:rPr>
      <w:rFonts w:ascii="Arial" w:hAnsi="Arial" w:eastAsia="Arial" w:cs="Arial"/>
      <w:sz w:val="24"/>
    </w:rPr>
  </w:style>
  <w:style w:type="character" w:styleId="741">
    <w:name w:val="Footer Char"/>
    <w:basedOn w:val="889"/>
    <w:rPr>
      <w:rFonts w:ascii="Arial" w:hAnsi="Arial" w:eastAsia="Arial" w:cs="Arial"/>
      <w:sz w:val="24"/>
    </w:rPr>
  </w:style>
  <w:style w:type="paragraph" w:styleId="742">
    <w:name w:val="Caption"/>
    <w:basedOn w:val="888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43">
    <w:name w:val="Caption Char"/>
    <w:basedOn w:val="742"/>
    <w:rPr>
      <w:rFonts w:ascii="Arial" w:hAnsi="Arial" w:eastAsia="Arial" w:cs="Arial"/>
      <w:sz w:val="24"/>
    </w:rPr>
  </w:style>
  <w:style w:type="table" w:styleId="744">
    <w:name w:val="Table Grid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Plain Table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Plain Table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Plain Table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1 Light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1 Light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1 Light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1 Light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1 Light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1 Light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1 Light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2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2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2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Grid Table 2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2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2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5">
    <w:name w:val="Grid Table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6">
    <w:name w:val="Grid Table 3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7">
    <w:name w:val="Grid Table 3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8">
    <w:name w:val="Grid Table 3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9">
    <w:name w:val="Grid Table 3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0">
    <w:name w:val="Grid Table 3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1">
    <w:name w:val="Grid Table 3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Grid Table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Grid Table 4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Grid Table 4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Grid Table 4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Grid Table 4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Grid Table 4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Grid Table 4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Grid Table 5 Dark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80">
    <w:name w:val="Grid Table 5 Dark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81">
    <w:name w:val="Grid Table 5 Dark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82">
    <w:name w:val="Grid Table 5 Dark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83">
    <w:name w:val="Grid Table 5 Dark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84">
    <w:name w:val="Grid Table 5 Dark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85">
    <w:name w:val="Grid Table 5 Dark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86">
    <w:name w:val="Grid Table 6 Colorful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Grid Table 6 Colorful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Grid Table 6 Colorful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Grid Table 6 Colorful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Grid Table 6 Colorful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Grid Table 6 Colorful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Grid Table 6 Colorful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Grid Table 7 Colorful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Grid Table 7 Colorful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Grid Table 7 Colorful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Grid Table 7 Colorful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Grid Table 7 Colorful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Grid Table 7 Colorful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Grid Table 7 Colorful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1 Light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1 Light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1 Light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1 Light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1 Light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1 Light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1 Light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2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2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2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st Table 2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2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2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4">
    <w:name w:val="List Table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5">
    <w:name w:val="List Table 3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6">
    <w:name w:val="List Table 3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7">
    <w:name w:val="List Table 3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8">
    <w:name w:val="List Table 3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9">
    <w:name w:val="List Table 3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0">
    <w:name w:val="List Table 3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List Table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List Table 4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List Table 4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List Table 4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List Table 4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List Table 4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List Table 4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List Table 5 Dark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829">
    <w:name w:val="List Table 5 Dark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830">
    <w:name w:val="List Table 5 Dark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831">
    <w:name w:val="List Table 5 Dark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832">
    <w:name w:val="List Table 5 Dark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833">
    <w:name w:val="List Table 5 Dark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834">
    <w:name w:val="List Table 5 Dark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835">
    <w:name w:val="List Table 6 Colorful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6">
    <w:name w:val="List Table 6 Colorful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7">
    <w:name w:val="List Table 6 Colorful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8">
    <w:name w:val="List Table 6 Colorful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9">
    <w:name w:val="List Table 6 Colorful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0">
    <w:name w:val="List Table 6 Colorful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1">
    <w:name w:val="List Table 6 Colorful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2">
    <w:name w:val="List Table 7 Colorful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3">
    <w:name w:val="List Table 7 Colorful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4">
    <w:name w:val="List Table 7 Colorful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5">
    <w:name w:val="List Table 7 Colorful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6">
    <w:name w:val="List Table 7 Colorful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7">
    <w:name w:val="List Table 7 Colorful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8">
    <w:name w:val="List Table 7 Colorful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9">
    <w:name w:val="Lined - Accent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50">
    <w:name w:val="Lined - Accent 1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51">
    <w:name w:val="Lined - Accent 2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52">
    <w:name w:val="Lined - Accent 3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53">
    <w:name w:val="Lined - Accent 4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54">
    <w:name w:val="Lined - Accent 5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55">
    <w:name w:val="Lined - Accent 6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56">
    <w:name w:val="Bordered &amp; Lined - Accent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7">
    <w:name w:val="Bordered &amp; Lined - Accent 1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8">
    <w:name w:val="Bordered &amp; Lined - Accent 2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9">
    <w:name w:val="Bordered &amp; Lined - Accent 3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0">
    <w:name w:val="Bordered &amp; Lined - Accent 4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1">
    <w:name w:val="Bordered &amp; Lined - Accent 5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2">
    <w:name w:val="Bordered &amp; Lined - Accent 6"/>
    <w:basedOn w:val="890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3">
    <w:name w:val="Bordered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4">
    <w:name w:val="Bordered - Accent 1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5">
    <w:name w:val="Bordered - Accent 2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6">
    <w:name w:val="Bordered - Accent 3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7">
    <w:name w:val="Bordered - Accent 4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8">
    <w:name w:val="Bordered - Accent 5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69">
    <w:name w:val="Bordered - Accent 6"/>
    <w:basedOn w:val="890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70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71">
    <w:name w:val="footnote text"/>
    <w:basedOn w:val="888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72">
    <w:name w:val="Footnote Text Char"/>
    <w:rPr>
      <w:rFonts w:ascii="Arial" w:hAnsi="Arial" w:eastAsia="Arial" w:cs="Arial"/>
      <w:sz w:val="18"/>
    </w:rPr>
  </w:style>
  <w:style w:type="character" w:styleId="873">
    <w:name w:val="footnote reference"/>
    <w:basedOn w:val="889"/>
    <w:unhideWhenUsed/>
    <w:rPr>
      <w:rFonts w:ascii="Arial" w:hAnsi="Arial" w:eastAsia="Arial" w:cs="Arial"/>
      <w:sz w:val="24"/>
      <w:vertAlign w:val="superscript"/>
    </w:rPr>
  </w:style>
  <w:style w:type="paragraph" w:styleId="874">
    <w:name w:val="endnote text"/>
    <w:basedOn w:val="888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75">
    <w:name w:val="Endnote Text Char"/>
    <w:rPr>
      <w:rFonts w:ascii="Arial" w:hAnsi="Arial" w:eastAsia="Arial" w:cs="Arial"/>
      <w:sz w:val="20"/>
    </w:rPr>
  </w:style>
  <w:style w:type="character" w:styleId="876">
    <w:name w:val="endnote reference"/>
    <w:basedOn w:val="889"/>
    <w:semiHidden/>
    <w:unhideWhenUsed/>
    <w:rPr>
      <w:rFonts w:ascii="Arial" w:hAnsi="Arial" w:eastAsia="Arial" w:cs="Arial"/>
      <w:sz w:val="24"/>
      <w:vertAlign w:val="superscript"/>
    </w:rPr>
  </w:style>
  <w:style w:type="paragraph" w:styleId="877">
    <w:name w:val="toc 1"/>
    <w:basedOn w:val="888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78">
    <w:name w:val="toc 2"/>
    <w:basedOn w:val="888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79">
    <w:name w:val="toc 3"/>
    <w:basedOn w:val="888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80">
    <w:name w:val="toc 4"/>
    <w:basedOn w:val="888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81">
    <w:name w:val="toc 5"/>
    <w:basedOn w:val="888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82">
    <w:name w:val="toc 6"/>
    <w:basedOn w:val="888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83">
    <w:name w:val="toc 7"/>
    <w:basedOn w:val="888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84">
    <w:name w:val="toc 8"/>
    <w:basedOn w:val="888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85">
    <w:name w:val="toc 9"/>
    <w:basedOn w:val="888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86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87">
    <w:name w:val="table of figures"/>
    <w:basedOn w:val="888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88" w:default="1">
    <w:name w:val="Normal"/>
    <w:qFormat/>
    <w:pPr>
      <w:ind w:left="0"/>
      <w:jc w:val="left"/>
      <w:spacing w:before="0" w:after="200" w:line="276" w:lineRule="auto"/>
    </w:pPr>
    <w:rPr>
      <w:rFonts w:ascii="Calibri" w:hAnsi="Calibri" w:eastAsia="Calibri" w:cs="Calibri"/>
      <w:sz w:val="22"/>
    </w:rPr>
  </w:style>
  <w:style w:type="character" w:styleId="889" w:default="1">
    <w:name w:val="Default Paragraph Font"/>
    <w:semiHidden/>
    <w:unhideWhenUsed/>
    <w:rPr>
      <w:rFonts w:ascii="TimesNewRoman" w:hAnsi="TimesNewRoman" w:eastAsia="TimesNewRoman" w:cs="TimesNewRoman"/>
      <w:sz w:val="24"/>
    </w:rPr>
  </w:style>
  <w:style w:type="table" w:styleId="890" w:default="1">
    <w:name w:val="Normal Table"/>
    <w:semiHidden/>
    <w:unhideWhenUsed/>
    <w:pPr>
      <w:ind w:left="0"/>
      <w:jc w:val="left"/>
      <w:spacing w:before="0" w:after="200" w:line="276" w:lineRule="auto"/>
    </w:pPr>
    <w:rPr>
      <w:rFonts w:ascii="Calibri" w:hAnsi="Calibri" w:eastAsia="Calibri" w:cs="Calibri"/>
      <w:sz w:val="22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paragraph" w:styleId="891">
    <w:name w:val="ConsPlusNormal"/>
    <w:pPr>
      <w:ind w:left="0"/>
      <w:jc w:val="left"/>
      <w:spacing w:before="0" w:after="0" w:line="240" w:lineRule="auto"/>
    </w:pPr>
    <w:rPr>
      <w:rFonts w:ascii="Arial" w:hAnsi="Arial" w:eastAsia="Arial" w:cs="Arial"/>
      <w:sz w:val="16"/>
    </w:rPr>
  </w:style>
  <w:style w:type="paragraph" w:styleId="892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93">
    <w:name w:val="ConsPlusTitle"/>
    <w:pPr>
      <w:ind w:left="0"/>
      <w:jc w:val="left"/>
      <w:spacing w:before="0" w:after="0" w:line="240" w:lineRule="auto"/>
    </w:pPr>
    <w:rPr>
      <w:rFonts w:ascii="Arial" w:hAnsi="Arial" w:eastAsia="Arial" w:cs="Arial"/>
      <w:b/>
      <w:sz w:val="16"/>
    </w:rPr>
  </w:style>
  <w:style w:type="paragraph" w:styleId="894">
    <w:name w:val="ConsPlusCell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95">
    <w:name w:val="ConsPlusDocLis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16"/>
    </w:rPr>
  </w:style>
  <w:style w:type="paragraph" w:styleId="896">
    <w:name w:val="ConsPlusTitlePage"/>
    <w:pPr>
      <w:ind w:left="0"/>
      <w:jc w:val="left"/>
      <w:spacing w:before="0" w:after="0" w:line="240" w:lineRule="auto"/>
    </w:pPr>
    <w:rPr>
      <w:rFonts w:ascii="Tahoma" w:hAnsi="Tahoma" w:eastAsia="Tahoma" w:cs="Tahoma"/>
      <w:sz w:val="16"/>
    </w:rPr>
  </w:style>
  <w:style w:type="paragraph" w:styleId="897">
    <w:name w:val="ConsPlusJurTerm"/>
    <w:pPr>
      <w:ind w:left="0"/>
      <w:jc w:val="left"/>
      <w:spacing w:before="0" w:after="0" w:line="240" w:lineRule="auto"/>
    </w:pPr>
    <w:rPr>
      <w:rFonts w:ascii="Tahoma" w:hAnsi="Tahoma" w:eastAsia="Tahoma" w:cs="Tahoma"/>
      <w:sz w:val="26"/>
    </w:rPr>
  </w:style>
  <w:style w:type="paragraph" w:styleId="898">
    <w:name w:val="ConsPlusTextList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99">
    <w:name w:val="ConsPlusTextList1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900">
    <w:name w:val="ConsNonformat"/>
    <w:pPr>
      <w:contextualSpacing w:val="0"/>
      <w:ind w:left="0" w:firstLine="0"/>
      <w:jc w:val="left"/>
      <w:keepLines w:val="0"/>
      <w:keepNext w:val="0"/>
      <w:pageBreakBefore w:val="0"/>
      <w:spacing w:before="0" w:after="0" w:line="240" w:lineRule="auto"/>
      <w:shd w:val="clear" w:color="00000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CourierNew" w:hAnsi="CourierNew" w:eastAsia="CourierNew" w:cs="CourierNew"/>
      <w:b w:val="0"/>
      <w:i w:val="0"/>
      <w:caps w:val="0"/>
      <w:smallCaps w:val="0"/>
      <w:strike w:val="0"/>
      <w:color w:val="000000"/>
      <w:spacing w:val="0"/>
      <w:position w:val="0"/>
      <w:sz w:val="20"/>
    </w:rPr>
  </w:style>
  <w:style w:type="paragraph" w:styleId="901">
    <w:name w:val="ConsNormal"/>
    <w:pPr>
      <w:contextualSpacing w:val="0"/>
      <w:ind w:left="0" w:firstLine="720"/>
      <w:jc w:val="left"/>
      <w:keepLines w:val="0"/>
      <w:keepNext w:val="0"/>
      <w:pageBreakBefore w:val="0"/>
      <w:spacing w:before="0" w:after="0" w:line="240" w:lineRule="auto"/>
      <w:shd w:val="clear" w:color="00000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Arial" w:hAnsi="Arial" w:eastAsia="Arial" w:cs="Arial"/>
      <w:b w:val="0"/>
      <w:i w:val="0"/>
      <w:caps w:val="0"/>
      <w:smallCaps w:val="0"/>
      <w:strike w:val="0"/>
      <w:color w:val="000000"/>
      <w:spacing w:val="0"/>
      <w:position w:val="0"/>
      <w:sz w:val="20"/>
    </w:rPr>
  </w:style>
  <w:style w:type="numbering" w:styleId="90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s://login.consultant.ru/link/?req=doc&amp;base=RLAW404&amp;n=3656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Старооскольского городского округа Белгородской обл. от 17.01.2023 N 180&amp;amp;amp;amp;quot;Об определении границ прилегающих территорий, на которых не допускаются розничная продажа алкогольной продукции и розничная продажа алкогольной продукции</dc:title>
  <dc:creator>Королева Т.С.</dc:creator>
  <cp:revision>18</cp:revision>
  <dcterms:modified xsi:type="dcterms:W3CDTF">2024-10-09T08:01:56Z</dcterms:modified>
</cp:coreProperties>
</file>