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51150E" w:rsidRPr="009A3B6F" w:rsidTr="00BD3C70">
        <w:tc>
          <w:tcPr>
            <w:tcW w:w="10172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0A2338" w:rsidRPr="000A2338" w:rsidRDefault="00201779" w:rsidP="000A23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A2338">
              <w:rPr>
                <w:b/>
                <w:sz w:val="24"/>
                <w:szCs w:val="24"/>
              </w:rPr>
              <w:t xml:space="preserve">О внесении изменения </w:t>
            </w:r>
            <w:r w:rsidR="000A2338" w:rsidRPr="000A2338">
              <w:rPr>
                <w:b/>
                <w:sz w:val="24"/>
                <w:szCs w:val="24"/>
              </w:rPr>
              <w:t>в постановление администрации</w:t>
            </w:r>
          </w:p>
          <w:p w:rsidR="002B0BEC" w:rsidRDefault="000A2338" w:rsidP="000A233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  <w:r w:rsidRPr="000A2338">
              <w:rPr>
                <w:b/>
                <w:sz w:val="24"/>
                <w:szCs w:val="24"/>
              </w:rPr>
              <w:t>от 05 февраля  2024 года № 127-па</w:t>
            </w:r>
            <w:r w:rsidR="002B0BEC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201779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BD3C70">
        <w:tc>
          <w:tcPr>
            <w:tcW w:w="10172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вания, концепция, цели, задачи, последствия принятия):</w:t>
            </w:r>
          </w:p>
        </w:tc>
      </w:tr>
      <w:tr w:rsidR="0051150E" w:rsidRPr="009A3B6F" w:rsidTr="00BD3C70">
        <w:tc>
          <w:tcPr>
            <w:tcW w:w="10172" w:type="dxa"/>
            <w:shd w:val="clear" w:color="auto" w:fill="auto"/>
          </w:tcPr>
          <w:p w:rsidR="002B0BEC" w:rsidRPr="00BC6DE5" w:rsidRDefault="002B0BEC" w:rsidP="00BC6D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6DE5">
              <w:rPr>
                <w:sz w:val="24"/>
                <w:szCs w:val="24"/>
              </w:rPr>
              <w:t xml:space="preserve">  </w:t>
            </w:r>
            <w:proofErr w:type="gramStart"/>
            <w:r w:rsidR="00BC6DE5" w:rsidRPr="00BC6DE5">
              <w:rPr>
                <w:sz w:val="24"/>
                <w:szCs w:val="24"/>
              </w:rPr>
              <w:t xml:space="preserve">Проект документа разработан в целях </w:t>
            </w:r>
            <w:r w:rsidR="000A2338">
              <w:rPr>
                <w:sz w:val="24"/>
                <w:szCs w:val="24"/>
              </w:rPr>
              <w:t xml:space="preserve">актуализации </w:t>
            </w:r>
            <w:r w:rsidR="004475C8" w:rsidRPr="004475C8">
              <w:rPr>
                <w:sz w:val="24"/>
                <w:szCs w:val="24"/>
              </w:rPr>
              <w:t>Переч</w:t>
            </w:r>
            <w:r w:rsidR="004475C8">
              <w:rPr>
                <w:sz w:val="24"/>
                <w:szCs w:val="24"/>
              </w:rPr>
              <w:t>ень</w:t>
            </w:r>
            <w:r w:rsidR="004475C8" w:rsidRPr="004475C8">
              <w:rPr>
                <w:sz w:val="24"/>
                <w:szCs w:val="24"/>
              </w:rPr>
              <w:t xml:space="preserve"> должностей медицинских р</w:t>
            </w:r>
            <w:r w:rsidR="004475C8" w:rsidRPr="004475C8">
              <w:rPr>
                <w:sz w:val="24"/>
                <w:szCs w:val="24"/>
              </w:rPr>
              <w:t>а</w:t>
            </w:r>
            <w:r w:rsidR="004475C8" w:rsidRPr="004475C8">
              <w:rPr>
                <w:sz w:val="24"/>
                <w:szCs w:val="24"/>
              </w:rPr>
              <w:t>ботников, относящихся к среднему медицинскому персоналу, работающих в областных гос</w:t>
            </w:r>
            <w:r w:rsidR="004475C8" w:rsidRPr="004475C8">
              <w:rPr>
                <w:sz w:val="24"/>
                <w:szCs w:val="24"/>
              </w:rPr>
              <w:t>у</w:t>
            </w:r>
            <w:r w:rsidR="004475C8" w:rsidRPr="004475C8">
              <w:rPr>
                <w:sz w:val="24"/>
                <w:szCs w:val="24"/>
              </w:rPr>
              <w:t>дарственных учреждениях здравоохранения, расположенных на территории Губкинского горо</w:t>
            </w:r>
            <w:r w:rsidR="004475C8" w:rsidRPr="004475C8">
              <w:rPr>
                <w:sz w:val="24"/>
                <w:szCs w:val="24"/>
              </w:rPr>
              <w:t>д</w:t>
            </w:r>
            <w:r w:rsidR="004475C8" w:rsidRPr="004475C8">
              <w:rPr>
                <w:sz w:val="24"/>
                <w:szCs w:val="24"/>
              </w:rPr>
              <w:t>ского округа Белгородской области, при замещении которых предоставляется ежемесячная с</w:t>
            </w:r>
            <w:r w:rsidR="004475C8" w:rsidRPr="004475C8">
              <w:rPr>
                <w:sz w:val="24"/>
                <w:szCs w:val="24"/>
              </w:rPr>
              <w:t>о</w:t>
            </w:r>
            <w:r w:rsidR="004475C8" w:rsidRPr="004475C8">
              <w:rPr>
                <w:sz w:val="24"/>
                <w:szCs w:val="24"/>
              </w:rPr>
              <w:t>циальная выплата за досрочный выход из отпуска по уходу за ребенком до достижения им во</w:t>
            </w:r>
            <w:r w:rsidR="004475C8" w:rsidRPr="004475C8">
              <w:rPr>
                <w:sz w:val="24"/>
                <w:szCs w:val="24"/>
              </w:rPr>
              <w:t>з</w:t>
            </w:r>
            <w:r w:rsidR="004475C8" w:rsidRPr="004475C8">
              <w:rPr>
                <w:sz w:val="24"/>
                <w:szCs w:val="24"/>
              </w:rPr>
              <w:t>раста 3 (трех) лет</w:t>
            </w:r>
            <w:r w:rsidR="004475C8">
              <w:rPr>
                <w:sz w:val="24"/>
                <w:szCs w:val="24"/>
              </w:rPr>
              <w:t xml:space="preserve"> (далее – Перечень).</w:t>
            </w:r>
            <w:proofErr w:type="gramEnd"/>
            <w:r w:rsidR="004475C8">
              <w:rPr>
                <w:sz w:val="24"/>
                <w:szCs w:val="24"/>
              </w:rPr>
              <w:t xml:space="preserve"> </w:t>
            </w:r>
            <w:r w:rsidR="00BC6DE5">
              <w:rPr>
                <w:sz w:val="24"/>
                <w:szCs w:val="24"/>
              </w:rPr>
              <w:t>Предлагается внести изменения в П</w:t>
            </w:r>
            <w:r w:rsidR="004475C8">
              <w:rPr>
                <w:sz w:val="24"/>
                <w:szCs w:val="24"/>
              </w:rPr>
              <w:t>еречень</w:t>
            </w:r>
            <w:r w:rsidR="00BC6DE5">
              <w:rPr>
                <w:sz w:val="24"/>
                <w:szCs w:val="24"/>
              </w:rPr>
              <w:t xml:space="preserve"> </w:t>
            </w:r>
            <w:r w:rsidR="004475C8" w:rsidRPr="004475C8">
              <w:rPr>
                <w:sz w:val="24"/>
                <w:szCs w:val="24"/>
              </w:rPr>
              <w:t>в части акту</w:t>
            </w:r>
            <w:r w:rsidR="004475C8" w:rsidRPr="004475C8">
              <w:rPr>
                <w:sz w:val="24"/>
                <w:szCs w:val="24"/>
              </w:rPr>
              <w:t>а</w:t>
            </w:r>
            <w:r w:rsidR="004475C8" w:rsidRPr="004475C8">
              <w:rPr>
                <w:sz w:val="24"/>
                <w:szCs w:val="24"/>
              </w:rPr>
              <w:t>лизации должностей медицинских работников ОГБУЗ «Губкинская городская детская больн</w:t>
            </w:r>
            <w:r w:rsidR="004475C8" w:rsidRPr="004475C8">
              <w:rPr>
                <w:sz w:val="24"/>
                <w:szCs w:val="24"/>
              </w:rPr>
              <w:t>и</w:t>
            </w:r>
            <w:r w:rsidR="004475C8" w:rsidRPr="004475C8">
              <w:rPr>
                <w:sz w:val="24"/>
                <w:szCs w:val="24"/>
              </w:rPr>
              <w:t>ца», имеющих право на получение ежемесячной социальной выплаты.</w:t>
            </w:r>
            <w:bookmarkStart w:id="0" w:name="_GoBack"/>
            <w:bookmarkEnd w:id="0"/>
          </w:p>
          <w:p w:rsidR="00BC6DE5" w:rsidRPr="005F50D7" w:rsidRDefault="00BC6DE5" w:rsidP="00BC6D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6DE5">
              <w:rPr>
                <w:sz w:val="24"/>
                <w:szCs w:val="24"/>
              </w:rPr>
              <w:t>Принятие Проекта направлено на привлечение в медицинские организации городского округа необходимых специалистов и будет способствовать решению ключевой проблемы по ликвид</w:t>
            </w:r>
            <w:r w:rsidRPr="00BC6DE5">
              <w:rPr>
                <w:sz w:val="24"/>
                <w:szCs w:val="24"/>
              </w:rPr>
              <w:t>а</w:t>
            </w:r>
            <w:r w:rsidRPr="00BC6DE5">
              <w:rPr>
                <w:sz w:val="24"/>
                <w:szCs w:val="24"/>
              </w:rPr>
              <w:t>ции кадрового дефицита медицинских работников.</w:t>
            </w:r>
          </w:p>
        </w:tc>
      </w:tr>
      <w:tr w:rsidR="0051150E" w:rsidRPr="009A3B6F" w:rsidTr="00BD3C70">
        <w:tc>
          <w:tcPr>
            <w:tcW w:w="10172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BD3C70">
        <w:tc>
          <w:tcPr>
            <w:tcW w:w="10172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BD3C70">
        <w:tc>
          <w:tcPr>
            <w:tcW w:w="10172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51150E" w:rsidRPr="009A3B6F" w:rsidTr="00BD3C70">
        <w:tc>
          <w:tcPr>
            <w:tcW w:w="10172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C0DD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2338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475C8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0DD8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50D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0A7C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C6DE5"/>
    <w:rsid w:val="00BD3C70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08977-5E54-4739-A1D2-A09CE8FC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17</cp:revision>
  <cp:lastPrinted>2019-09-10T07:26:00Z</cp:lastPrinted>
  <dcterms:created xsi:type="dcterms:W3CDTF">2019-09-10T06:08:00Z</dcterms:created>
  <dcterms:modified xsi:type="dcterms:W3CDTF">2024-08-13T06:20:00Z</dcterms:modified>
</cp:coreProperties>
</file>