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C7" w:rsidRDefault="00B077C7" w:rsidP="00A039CF">
      <w:pPr>
        <w:pStyle w:val="ConsPlusTitlePage"/>
        <w:jc w:val="center"/>
      </w:pPr>
      <w:r>
        <w:t>АДМИНИСТРАЦИЯ ГУБКИНСКОГО ГОРОДСКОГО ОКРУГА</w:t>
      </w:r>
    </w:p>
    <w:p w:rsidR="00B077C7" w:rsidRDefault="00B077C7">
      <w:pPr>
        <w:pStyle w:val="ConsPlusTitle"/>
        <w:jc w:val="center"/>
      </w:pPr>
      <w:r>
        <w:t>БЕЛГОРОДСКОЙ ОБЛАСТИ</w:t>
      </w:r>
    </w:p>
    <w:p w:rsidR="00B077C7" w:rsidRDefault="00B077C7">
      <w:pPr>
        <w:pStyle w:val="ConsPlusTitle"/>
        <w:jc w:val="center"/>
      </w:pPr>
    </w:p>
    <w:p w:rsidR="00B077C7" w:rsidRDefault="00B077C7">
      <w:pPr>
        <w:pStyle w:val="ConsPlusTitle"/>
        <w:jc w:val="center"/>
      </w:pPr>
      <w:r>
        <w:t>ПОСТАНОВЛЕНИЕ</w:t>
      </w:r>
    </w:p>
    <w:p w:rsidR="00B077C7" w:rsidRDefault="00B077C7">
      <w:pPr>
        <w:pStyle w:val="ConsPlusTitle"/>
        <w:jc w:val="center"/>
      </w:pPr>
      <w:r>
        <w:t>от 6 июня 2024 г. N 698-па</w:t>
      </w:r>
    </w:p>
    <w:p w:rsidR="00B077C7" w:rsidRDefault="00B077C7">
      <w:pPr>
        <w:pStyle w:val="ConsPlusTitle"/>
        <w:ind w:firstLine="540"/>
        <w:jc w:val="both"/>
      </w:pPr>
    </w:p>
    <w:p w:rsidR="00B077C7" w:rsidRDefault="00B077C7">
      <w:pPr>
        <w:pStyle w:val="ConsPlusTitle"/>
        <w:jc w:val="center"/>
      </w:pPr>
      <w:r>
        <w:t>О ВНЕСЕНИИ ИЗМЕНЕНИЙ В ПОСТАНОВЛЕНИЕ</w:t>
      </w:r>
    </w:p>
    <w:p w:rsidR="00B077C7" w:rsidRDefault="00B077C7">
      <w:pPr>
        <w:pStyle w:val="ConsPlusTitle"/>
        <w:jc w:val="center"/>
      </w:pPr>
      <w:r>
        <w:t>АДМИНИСТРАЦИИ ГУБКИНСКОГО ГОРОДСКОГО ОКРУГА</w:t>
      </w:r>
    </w:p>
    <w:p w:rsidR="00B077C7" w:rsidRDefault="00B077C7">
      <w:pPr>
        <w:pStyle w:val="ConsPlusTitle"/>
        <w:jc w:val="center"/>
      </w:pPr>
      <w:r>
        <w:t>ОТ 14 ОКТЯБРЯ 2013 ГОДА N 2477-ПА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ind w:firstLine="540"/>
        <w:jc w:val="both"/>
      </w:pPr>
      <w:proofErr w:type="gramStart"/>
      <w:r>
        <w:t xml:space="preserve">В соответствии с Бюджетным </w:t>
      </w:r>
      <w:hyperlink r:id="rId5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7">
        <w:r>
          <w:rPr>
            <w:color w:val="0000FF"/>
          </w:rPr>
          <w:t>Уставом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постановлениями администрации </w:t>
      </w:r>
      <w:proofErr w:type="spellStart"/>
      <w:r>
        <w:t>Губкинского</w:t>
      </w:r>
      <w:proofErr w:type="spellEnd"/>
      <w:r>
        <w:t xml:space="preserve"> городского округа от 6 июня 2013 года </w:t>
      </w:r>
      <w:hyperlink r:id="rId8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их формирования, реализации</w:t>
      </w:r>
      <w:proofErr w:type="gramEnd"/>
      <w:r>
        <w:t xml:space="preserve"> и оценки эффективности", от 16 августа 2013 года N 1934-па "Об утверждении Перечня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области" администрация </w:t>
      </w:r>
      <w:proofErr w:type="spellStart"/>
      <w:r>
        <w:t>Губкинского</w:t>
      </w:r>
      <w:proofErr w:type="spellEnd"/>
      <w:r>
        <w:t xml:space="preserve"> городского округа постановляет: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Внести изменения в </w:t>
      </w:r>
      <w:hyperlink r:id="rId9">
        <w:r>
          <w:rPr>
            <w:color w:val="0000FF"/>
          </w:rPr>
          <w:t>постановление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от 14 октября 2013 года N 2477-па "Об утверждении муниципальной программы "Развитие автомобильных дорог общего пользования местного значения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области" (в редакции постановлений администрации от 30.04.2014 N 910-па, от 22.08.2014 N 1906-па, от 13.10.2014 N 2287-па, от 27.03.2015 N 647-па, от 29.03.2016 N 564-па, от 30.12.2016 N 2904-па, от</w:t>
      </w:r>
      <w:proofErr w:type="gramEnd"/>
      <w:r>
        <w:t xml:space="preserve"> </w:t>
      </w:r>
      <w:proofErr w:type="gramStart"/>
      <w:r>
        <w:t>29.03.2018 N 429-па, от 27.12.2018 N 2180-па, от 06.09.2019 N 1567-па, от 25.12.2019 N 2254-па, от 22.09.2020 N 1334-па, от 26.12.2020 N 1956-па, от 08.07.2021 N 1059-па, от 27.12.2021 N 2234-па, от 16.06.2022 N 739-па, от 08.09.2022 N 2046-па, от 27.12.2022 N 2642-па, от 14.03.2023 N 355-па, от 30.06.2023 N 943-па, от 29.09.2023 N 1351-па, от 18.12.2023 N 1782-па, от</w:t>
      </w:r>
      <w:proofErr w:type="gramEnd"/>
      <w:r>
        <w:t xml:space="preserve"> </w:t>
      </w:r>
      <w:proofErr w:type="gramStart"/>
      <w:r>
        <w:t>07.03.2024 N 279-па):</w:t>
      </w:r>
      <w:proofErr w:type="gramEnd"/>
    </w:p>
    <w:p w:rsidR="00B077C7" w:rsidRDefault="00B077C7">
      <w:pPr>
        <w:pStyle w:val="ConsPlusNormal"/>
        <w:spacing w:before="220"/>
        <w:ind w:firstLine="540"/>
        <w:jc w:val="both"/>
      </w:pPr>
      <w:r>
        <w:t xml:space="preserve">- в муниципальную </w:t>
      </w:r>
      <w:hyperlink r:id="rId10">
        <w:r>
          <w:rPr>
            <w:color w:val="0000FF"/>
          </w:rPr>
          <w:t>программу</w:t>
        </w:r>
      </w:hyperlink>
      <w:r>
        <w:t xml:space="preserve"> "Развитие автомобильных дорог общего пользования местного значения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области", утвержденную вышеуказанным постановлением: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 xml:space="preserve">1) </w:t>
      </w:r>
      <w:hyperlink r:id="rId11">
        <w:r>
          <w:rPr>
            <w:color w:val="0000FF"/>
          </w:rPr>
          <w:t>паспорт</w:t>
        </w:r>
      </w:hyperlink>
      <w:r>
        <w:t xml:space="preserve"> муниципальной программы изложить в редакции согласно </w:t>
      </w:r>
      <w:hyperlink w:anchor="P42">
        <w:r>
          <w:rPr>
            <w:color w:val="0000FF"/>
          </w:rPr>
          <w:t>приложению N 1</w:t>
        </w:r>
      </w:hyperlink>
      <w:r>
        <w:t xml:space="preserve"> к настоящему постановлению;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 xml:space="preserve">2) </w:t>
      </w:r>
      <w:hyperlink r:id="rId12">
        <w:r>
          <w:rPr>
            <w:color w:val="0000FF"/>
          </w:rPr>
          <w:t>раздел 5</w:t>
        </w:r>
      </w:hyperlink>
      <w:r>
        <w:t xml:space="preserve"> "Ресурсное обеспечение программы" изложить в редакции согласно </w:t>
      </w:r>
      <w:hyperlink w:anchor="P156">
        <w:r>
          <w:rPr>
            <w:color w:val="0000FF"/>
          </w:rPr>
          <w:t>приложению N 2</w:t>
        </w:r>
      </w:hyperlink>
      <w:r>
        <w:t xml:space="preserve"> к настоящему постановлению;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 xml:space="preserve">3) </w:t>
      </w:r>
      <w:hyperlink r:id="rId13">
        <w:r>
          <w:rPr>
            <w:color w:val="0000FF"/>
          </w:rPr>
          <w:t>паспорт</w:t>
        </w:r>
      </w:hyperlink>
      <w:r>
        <w:t xml:space="preserve"> подпрограммы 2 "Капитальный ремонт автомобильных дорог общего пользования местного значения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области" изложить в редакции согласно </w:t>
      </w:r>
      <w:hyperlink w:anchor="P214">
        <w:r>
          <w:rPr>
            <w:color w:val="0000FF"/>
          </w:rPr>
          <w:t>приложению N 3</w:t>
        </w:r>
      </w:hyperlink>
      <w:r>
        <w:t xml:space="preserve"> к настоящему постановлению;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 xml:space="preserve">4) </w:t>
      </w:r>
      <w:hyperlink r:id="rId14">
        <w:r>
          <w:rPr>
            <w:color w:val="0000FF"/>
          </w:rPr>
          <w:t>раздел 5</w:t>
        </w:r>
      </w:hyperlink>
      <w:r>
        <w:t xml:space="preserve"> подпрограммы 2 "Ресурсное обеспечение Подпрограммы 2" изложить в редакции согласно </w:t>
      </w:r>
      <w:hyperlink w:anchor="P285">
        <w:r>
          <w:rPr>
            <w:color w:val="0000FF"/>
          </w:rPr>
          <w:t>приложению N 4</w:t>
        </w:r>
      </w:hyperlink>
      <w:r>
        <w:t xml:space="preserve"> к настоящему постановлению;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 xml:space="preserve">5) </w:t>
      </w:r>
      <w:hyperlink r:id="rId15">
        <w:r>
          <w:rPr>
            <w:color w:val="0000FF"/>
          </w:rPr>
          <w:t>паспорт</w:t>
        </w:r>
      </w:hyperlink>
      <w:r>
        <w:t xml:space="preserve"> подпрограммы 3 "Содержание улично-дорожной сети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области" изложить в редакции согласно </w:t>
      </w:r>
      <w:hyperlink w:anchor="P324">
        <w:r>
          <w:rPr>
            <w:color w:val="0000FF"/>
          </w:rPr>
          <w:t>приложению N 5</w:t>
        </w:r>
      </w:hyperlink>
      <w:r>
        <w:t xml:space="preserve"> к настоящему постановлению;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 xml:space="preserve">6) </w:t>
      </w:r>
      <w:hyperlink r:id="rId16">
        <w:r>
          <w:rPr>
            <w:color w:val="0000FF"/>
          </w:rPr>
          <w:t>раздел 5</w:t>
        </w:r>
      </w:hyperlink>
      <w:r>
        <w:t xml:space="preserve"> подпрограммы 3 "Ресурсное обеспечение Подпрограммы 3" изложить в редакции согласно </w:t>
      </w:r>
      <w:hyperlink w:anchor="P403">
        <w:r>
          <w:rPr>
            <w:color w:val="0000FF"/>
          </w:rPr>
          <w:t>приложению N 6</w:t>
        </w:r>
      </w:hyperlink>
      <w:r>
        <w:t xml:space="preserve"> к настоящему постановлению;</w:t>
      </w:r>
    </w:p>
    <w:p w:rsidR="00B077C7" w:rsidRDefault="00B077C7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7) </w:t>
      </w:r>
      <w:hyperlink r:id="rId17">
        <w:r>
          <w:rPr>
            <w:color w:val="0000FF"/>
          </w:rPr>
          <w:t>таблицу</w:t>
        </w:r>
      </w:hyperlink>
      <w:r>
        <w:t xml:space="preserve"> II этапа реализации муниципальной программы приложения N 2 к муниципальной программе "Развитие автомобильных дорог общего пользования местного значения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области" "Ресурсное обеспечение и прогнозная (справочная) оценка расходов на реализацию основных мероприятий (мероприятий) муниципальной программы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из различных источников финансирования" изложить в редакции согласно </w:t>
      </w:r>
      <w:hyperlink w:anchor="P448">
        <w:r>
          <w:rPr>
            <w:color w:val="0000FF"/>
          </w:rPr>
          <w:t>приложению N 7</w:t>
        </w:r>
      </w:hyperlink>
      <w:r>
        <w:t xml:space="preserve"> к настоящему постановлению;</w:t>
      </w:r>
      <w:proofErr w:type="gramEnd"/>
    </w:p>
    <w:p w:rsidR="00B077C7" w:rsidRDefault="00B077C7">
      <w:pPr>
        <w:pStyle w:val="ConsPlusNormal"/>
        <w:spacing w:before="220"/>
        <w:ind w:firstLine="540"/>
        <w:jc w:val="both"/>
      </w:pPr>
      <w:proofErr w:type="gramStart"/>
      <w:r>
        <w:t xml:space="preserve">8) </w:t>
      </w:r>
      <w:hyperlink r:id="rId18">
        <w:r>
          <w:rPr>
            <w:color w:val="0000FF"/>
          </w:rPr>
          <w:t>таблицу</w:t>
        </w:r>
      </w:hyperlink>
      <w:r>
        <w:t xml:space="preserve"> II этапа реализации муниципальной программы приложения N 3 к муниципальной программе "Развитие автомобильных дорог общего пользования местного значения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области" "Ресурсное обеспечение реализации муниципальной программы "Развитие автомобильных дорог общего пользования местного значения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области"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области" изложить в редакции согласно </w:t>
      </w:r>
      <w:hyperlink w:anchor="P1123">
        <w:r>
          <w:rPr>
            <w:color w:val="0000FF"/>
          </w:rPr>
          <w:t>приложению N 8</w:t>
        </w:r>
      </w:hyperlink>
      <w:r>
        <w:t xml:space="preserve"> к настоящему</w:t>
      </w:r>
      <w:proofErr w:type="gramEnd"/>
      <w:r>
        <w:t xml:space="preserve"> постановлению.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ind w:firstLine="540"/>
        <w:jc w:val="both"/>
      </w:pPr>
      <w:r>
        <w:t>2. Опубликовать постановление в средствах массовой информации.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комитет градостроительной политики (</w:t>
      </w:r>
      <w:proofErr w:type="spellStart"/>
      <w:r>
        <w:t>Атаев</w:t>
      </w:r>
      <w:proofErr w:type="spellEnd"/>
      <w:r>
        <w:t xml:space="preserve"> В.А.).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right"/>
      </w:pPr>
      <w:r>
        <w:t>Глава администрации</w:t>
      </w:r>
    </w:p>
    <w:p w:rsidR="00B077C7" w:rsidRDefault="00B077C7">
      <w:pPr>
        <w:pStyle w:val="ConsPlusNormal"/>
        <w:jc w:val="right"/>
      </w:pPr>
      <w:proofErr w:type="spellStart"/>
      <w:r>
        <w:t>Губкинского</w:t>
      </w:r>
      <w:proofErr w:type="spellEnd"/>
      <w:r>
        <w:t xml:space="preserve"> городского округа</w:t>
      </w:r>
    </w:p>
    <w:p w:rsidR="00B077C7" w:rsidRDefault="00B077C7">
      <w:pPr>
        <w:pStyle w:val="ConsPlusNormal"/>
        <w:jc w:val="right"/>
      </w:pPr>
      <w:r>
        <w:t>М.А.ЛОБАЗНОВ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right"/>
        <w:outlineLvl w:val="0"/>
      </w:pPr>
      <w:r>
        <w:t>Приложение N 1</w:t>
      </w:r>
    </w:p>
    <w:p w:rsidR="00B077C7" w:rsidRDefault="00B077C7">
      <w:pPr>
        <w:pStyle w:val="ConsPlusNormal"/>
        <w:jc w:val="right"/>
      </w:pPr>
      <w:r>
        <w:t>к постановлению</w:t>
      </w:r>
    </w:p>
    <w:p w:rsidR="00B077C7" w:rsidRDefault="00B077C7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B077C7" w:rsidRDefault="00B077C7">
      <w:pPr>
        <w:pStyle w:val="ConsPlusNormal"/>
        <w:jc w:val="right"/>
      </w:pPr>
      <w:r>
        <w:t>городского округа</w:t>
      </w:r>
    </w:p>
    <w:p w:rsidR="00B077C7" w:rsidRDefault="00B077C7">
      <w:pPr>
        <w:pStyle w:val="ConsPlusNormal"/>
        <w:jc w:val="right"/>
      </w:pPr>
      <w:r>
        <w:t>от 6 июня 2024 г. N 698-па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</w:pPr>
      <w:bookmarkStart w:id="0" w:name="P42"/>
      <w:bookmarkEnd w:id="0"/>
      <w:r>
        <w:t>МУНИЦИПАЛЬНАЯ ПРОГРАММА</w:t>
      </w:r>
    </w:p>
    <w:p w:rsidR="00B077C7" w:rsidRDefault="00B077C7">
      <w:pPr>
        <w:pStyle w:val="ConsPlusTitle"/>
        <w:jc w:val="center"/>
      </w:pPr>
      <w:r>
        <w:t>"РАЗВИТИЕ АВТОМОБИЛЬНЫХ ДОРОГ ОБЩЕГО ПОЛЬЗОВАНИЯ МЕСТНОГО</w:t>
      </w:r>
    </w:p>
    <w:p w:rsidR="00B077C7" w:rsidRDefault="00B077C7">
      <w:pPr>
        <w:pStyle w:val="ConsPlusTitle"/>
        <w:jc w:val="center"/>
      </w:pPr>
      <w:r>
        <w:t>ЗНАЧЕНИЯ ГУБКИНСКОГО ГОРОДСКОГО ОКРУГА БЕЛГОРОДСКОЙ ОБЛАСТИ"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  <w:outlineLvl w:val="1"/>
      </w:pPr>
      <w:r>
        <w:t>Паспорт</w:t>
      </w:r>
    </w:p>
    <w:p w:rsidR="00B077C7" w:rsidRDefault="00B077C7">
      <w:pPr>
        <w:pStyle w:val="ConsPlusTitle"/>
        <w:jc w:val="center"/>
      </w:pPr>
      <w:r>
        <w:t>муниципальной программы "Развитие автомобильных дорог общего</w:t>
      </w:r>
    </w:p>
    <w:p w:rsidR="00B077C7" w:rsidRDefault="00B077C7">
      <w:pPr>
        <w:pStyle w:val="ConsPlusTitle"/>
        <w:jc w:val="center"/>
      </w:pPr>
      <w:r>
        <w:t xml:space="preserve">пользования местного значения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B077C7" w:rsidRDefault="00B077C7">
      <w:pPr>
        <w:pStyle w:val="ConsPlusTitle"/>
        <w:jc w:val="center"/>
      </w:pPr>
      <w:r>
        <w:t>округа Белгородской области"</w:t>
      </w:r>
    </w:p>
    <w:p w:rsidR="00B077C7" w:rsidRDefault="00B077C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41"/>
        <w:gridCol w:w="6576"/>
      </w:tblGrid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617" w:type="dxa"/>
            <w:gridSpan w:val="2"/>
          </w:tcPr>
          <w:p w:rsidR="00B077C7" w:rsidRDefault="00B077C7">
            <w:pPr>
              <w:pStyle w:val="ConsPlusNormal"/>
              <w:jc w:val="both"/>
            </w:pPr>
            <w:r>
              <w:t xml:space="preserve">Наименование муниципальной программы: "Развитие автомобильных дорог общего пользования местного значения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 (далее - муниципальная программа)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координации строительства)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Соисполнители муниципальной программы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Управление жилищно-коммунального комплекса и систем жизнеобеспечения;</w:t>
            </w:r>
          </w:p>
          <w:p w:rsidR="00B077C7" w:rsidRDefault="00B077C7">
            <w:pPr>
              <w:pStyle w:val="ConsPlusNormal"/>
              <w:jc w:val="both"/>
            </w:pPr>
            <w:r>
              <w:t>МКУ "Управление капитального строительства"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Сельские территориальные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Подпрограммы муниципальной программы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1. Подпрограмма "Строительство (реконструкция) дорог с твердым покрытием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области".</w:t>
            </w:r>
          </w:p>
          <w:p w:rsidR="00B077C7" w:rsidRDefault="00B077C7">
            <w:pPr>
              <w:pStyle w:val="ConsPlusNormal"/>
              <w:jc w:val="both"/>
            </w:pPr>
            <w:r>
              <w:t xml:space="preserve">2. Подпрограмма "Капитальный ремонт автомобильных </w:t>
            </w:r>
            <w:proofErr w:type="gramStart"/>
            <w:r>
              <w:t xml:space="preserve">дорог общего пользования местного значения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  <w:proofErr w:type="gramEnd"/>
            <w:r>
              <w:t>".</w:t>
            </w:r>
          </w:p>
          <w:p w:rsidR="00B077C7" w:rsidRDefault="00B077C7">
            <w:pPr>
              <w:pStyle w:val="ConsPlusNormal"/>
              <w:jc w:val="both"/>
            </w:pPr>
            <w:r>
              <w:t xml:space="preserve">3. Подпрограмма "Содержание улично-дорожной сети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области".</w:t>
            </w:r>
          </w:p>
          <w:p w:rsidR="00B077C7" w:rsidRDefault="00B077C7">
            <w:pPr>
              <w:pStyle w:val="ConsPlusNormal"/>
              <w:jc w:val="both"/>
            </w:pPr>
            <w:r>
              <w:t xml:space="preserve">4. Подпрограмма "Благоустройство дворовых территорий многоквартирных домов, проездов к дворовым территориям многоквартирных домов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Цель муниципальной программы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Создание условий для устойчивого функционирования дорожной сети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в соответствии с социально-экономическими потребностями населения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Задачи муниципальной программы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1. Развитие сети автомобильных дорог в соответствии с темпами экономического развития городского округа.</w:t>
            </w:r>
          </w:p>
          <w:p w:rsidR="00B077C7" w:rsidRDefault="00B077C7">
            <w:pPr>
              <w:pStyle w:val="ConsPlusNormal"/>
              <w:jc w:val="both"/>
            </w:pPr>
            <w:r>
              <w:t>2. 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перевозок.</w:t>
            </w:r>
          </w:p>
          <w:p w:rsidR="00B077C7" w:rsidRDefault="00B077C7">
            <w:pPr>
              <w:pStyle w:val="ConsPlusNormal"/>
              <w:jc w:val="both"/>
            </w:pPr>
            <w:r>
              <w:t>3. Улучшение транспортно-эксплуатационного состояния существующей сети автомобильных дорог и сооружений.</w:t>
            </w:r>
          </w:p>
          <w:p w:rsidR="00B077C7" w:rsidRDefault="00B077C7">
            <w:pPr>
              <w:pStyle w:val="ConsPlusNormal"/>
              <w:jc w:val="both"/>
            </w:pPr>
            <w:r>
              <w:t>4. Улучшение эстетического облика, внешнего благоустройства, санитарного состояния дворовых территорий многоквартирных домов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Сроки и этапы реализации муниципальной программы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2014 - 2026 годы.</w:t>
            </w:r>
          </w:p>
          <w:p w:rsidR="00B077C7" w:rsidRDefault="00B077C7">
            <w:pPr>
              <w:pStyle w:val="ConsPlusNormal"/>
              <w:jc w:val="both"/>
            </w:pPr>
            <w:r>
              <w:t>I этап: 2014 - 2020 годы;</w:t>
            </w:r>
          </w:p>
          <w:p w:rsidR="00B077C7" w:rsidRDefault="00B077C7">
            <w:pPr>
              <w:pStyle w:val="ConsPlusNormal"/>
              <w:jc w:val="both"/>
            </w:pPr>
            <w:r>
              <w:t>II этап: 2021 - 2026 годы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 xml:space="preserve">Объемы бюджетных ассигнований муниципальной программы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 (с расшифровкой плановых объемов бюджетных </w:t>
            </w:r>
            <w:r>
              <w:lastRenderedPageBreak/>
              <w:t>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lastRenderedPageBreak/>
              <w:t>Общий объем финансирования муниципальной программы за счет всех источников финансирования составит 4017651,53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2014 год - 89712,90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2015 год - 99739,40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2016 год - 166659,60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2017 год - 103154,00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2018 год - 135545,40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2019 год - 225516,60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2020 год - 299313,00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2021 год - 479680,55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2022 год - 483981,38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2023 год - 753688,00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2024 год - 529869,70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2025 год - 178112,00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2026 год - 472679,00 тыс. рублей.</w:t>
            </w:r>
          </w:p>
          <w:p w:rsidR="00B077C7" w:rsidRDefault="00B077C7">
            <w:pPr>
              <w:pStyle w:val="ConsPlusNormal"/>
              <w:jc w:val="both"/>
            </w:pPr>
            <w:r>
              <w:lastRenderedPageBreak/>
              <w:t xml:space="preserve">Объем финансирования муниципальной программы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составит 2233322,03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2014 год - 89712,90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2015 год - 82139,00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2016 год - 103159,60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2017 год - 103154,00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2018 год - 119823,40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2019 год - 104918,70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2020 год - 122566,00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2021 год - 257993,55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2022 год - 226931,18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2023 год - 395343,00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2024 год - 343389,70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2025 год - 178112,00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2026 год - 106079,00 тыс. рублей.</w:t>
            </w:r>
          </w:p>
          <w:p w:rsidR="00B077C7" w:rsidRDefault="00B077C7">
            <w:pPr>
              <w:pStyle w:val="ConsPlusNormal"/>
              <w:jc w:val="both"/>
            </w:pPr>
            <w:r>
              <w:t>Объем финансирования муниципальной программы за счет средств областного бюджета составит 1187399,10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2018 год - 15722,00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2019 год - 64437,90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2020 год - 108377,00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2021 год - 221687,00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2022 год - 232350,20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2023 год - 358345,00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2024 год - 186480,00 тыс. рублей.</w:t>
            </w:r>
          </w:p>
          <w:p w:rsidR="00B077C7" w:rsidRDefault="00B077C7">
            <w:pPr>
              <w:pStyle w:val="ConsPlusNormal"/>
              <w:jc w:val="both"/>
            </w:pPr>
            <w:r>
              <w:t>Общий объем финансирования программы за счет средств федерального бюджета составляет 124530,00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2019 год - 56160,0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2020 год - 68370,0 тыс. рублей.</w:t>
            </w:r>
          </w:p>
          <w:p w:rsidR="00B077C7" w:rsidRDefault="00B077C7">
            <w:pPr>
              <w:pStyle w:val="ConsPlusNormal"/>
              <w:jc w:val="both"/>
            </w:pPr>
            <w:r>
              <w:t>Объем финансирования муниципальной программы за счет средств иных источников финансирования составит 472400,40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2015 год - 17600,40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2016 год - 63500,00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2022 год - 24700,00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2026 год - 366600,00 тыс. рублей.</w:t>
            </w:r>
          </w:p>
          <w:p w:rsidR="00B077C7" w:rsidRDefault="00B077C7">
            <w:pPr>
              <w:pStyle w:val="ConsPlusNormal"/>
              <w:jc w:val="both"/>
            </w:pPr>
            <w:r>
              <w:t>Объемы финансирования мероприятий муниципальной программы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Показатели конечных результатов реализации муниципальной программы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1. Доля населенных пунктов, обеспеченных подъездными дорогами с твердым покрытием, %.</w:t>
            </w:r>
          </w:p>
          <w:p w:rsidR="00B077C7" w:rsidRDefault="00B077C7">
            <w:pPr>
              <w:pStyle w:val="ConsPlusNormal"/>
              <w:jc w:val="both"/>
            </w:pPr>
            <w:r>
              <w:t>2.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%.</w:t>
            </w:r>
          </w:p>
          <w:p w:rsidR="00B077C7" w:rsidRDefault="00B077C7">
            <w:pPr>
              <w:pStyle w:val="ConsPlusNormal"/>
              <w:jc w:val="both"/>
            </w:pPr>
            <w:r>
              <w:t>3. Доля площади убираемой территории в общей площади, подлежащей уборке, %.</w:t>
            </w:r>
          </w:p>
          <w:p w:rsidR="00B077C7" w:rsidRDefault="00B077C7">
            <w:pPr>
              <w:pStyle w:val="ConsPlusNormal"/>
              <w:jc w:val="both"/>
            </w:pPr>
            <w:r>
              <w:t>4. Доля механизированной уборки в общем объеме работ по содержанию улично-дорожной сети, %.</w:t>
            </w:r>
          </w:p>
          <w:p w:rsidR="00B077C7" w:rsidRDefault="00B077C7">
            <w:pPr>
              <w:pStyle w:val="ConsPlusNormal"/>
              <w:jc w:val="both"/>
            </w:pPr>
            <w:r>
              <w:lastRenderedPageBreak/>
              <w:t>5. Доля благоустроенных дворовых территорий в общем количестве дворовых территорий многоквартирных домов, %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Конечные результаты реализации муниципальной программы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К 2026 году планируется:</w:t>
            </w:r>
          </w:p>
          <w:p w:rsidR="00B077C7" w:rsidRDefault="00B077C7">
            <w:pPr>
              <w:pStyle w:val="ConsPlusNormal"/>
              <w:jc w:val="both"/>
            </w:pPr>
            <w:r>
              <w:t>1. Увеличение доли населенных пунктов, обеспеченных подъездными дорогами с твердым покрытием, до 100%.</w:t>
            </w:r>
          </w:p>
          <w:p w:rsidR="00B077C7" w:rsidRDefault="00B077C7">
            <w:pPr>
              <w:pStyle w:val="ConsPlusNormal"/>
              <w:jc w:val="both"/>
            </w:pPr>
            <w:r>
              <w:t>2. Увеличение доли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до 90,33%.</w:t>
            </w:r>
          </w:p>
          <w:p w:rsidR="00B077C7" w:rsidRDefault="00B077C7">
            <w:pPr>
              <w:pStyle w:val="ConsPlusNormal"/>
              <w:jc w:val="both"/>
            </w:pPr>
            <w:r>
              <w:t>3. Увеличение доли площади убираемой территории в общей площади, подлежащей уборке, до 90%.</w:t>
            </w:r>
          </w:p>
          <w:p w:rsidR="00B077C7" w:rsidRDefault="00B077C7">
            <w:pPr>
              <w:pStyle w:val="ConsPlusNormal"/>
              <w:jc w:val="both"/>
            </w:pPr>
            <w:r>
              <w:t>4. Увеличение доли механизированной уборки в общем объеме работ по содержанию улично-дорожной сети до 74%.</w:t>
            </w:r>
          </w:p>
          <w:p w:rsidR="00B077C7" w:rsidRDefault="00B077C7">
            <w:pPr>
              <w:pStyle w:val="ConsPlusNormal"/>
              <w:jc w:val="both"/>
            </w:pPr>
            <w:r>
              <w:t>5. Увеличение доли благоустроенных дворовых территорий в общем количестве дворовых территорий многоквартирных домов до 100%</w:t>
            </w:r>
          </w:p>
        </w:tc>
      </w:tr>
    </w:tbl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right"/>
        <w:outlineLvl w:val="0"/>
      </w:pPr>
      <w:r>
        <w:t>Приложение N 2</w:t>
      </w:r>
    </w:p>
    <w:p w:rsidR="00B077C7" w:rsidRDefault="00B077C7">
      <w:pPr>
        <w:pStyle w:val="ConsPlusNormal"/>
        <w:jc w:val="right"/>
      </w:pPr>
      <w:r>
        <w:t>к постановлению</w:t>
      </w:r>
    </w:p>
    <w:p w:rsidR="00B077C7" w:rsidRDefault="00B077C7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B077C7" w:rsidRDefault="00B077C7">
      <w:pPr>
        <w:pStyle w:val="ConsPlusNormal"/>
        <w:jc w:val="right"/>
      </w:pPr>
      <w:r>
        <w:t>городского округа</w:t>
      </w:r>
    </w:p>
    <w:p w:rsidR="00B077C7" w:rsidRDefault="00B077C7">
      <w:pPr>
        <w:pStyle w:val="ConsPlusNormal"/>
        <w:jc w:val="right"/>
      </w:pPr>
      <w:r>
        <w:t>от 6 июня 2024 г. N 698-па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</w:pPr>
      <w:bookmarkStart w:id="1" w:name="P156"/>
      <w:bookmarkEnd w:id="1"/>
      <w:r>
        <w:t>Ресурсное обеспечение муниципальной программы</w:t>
      </w:r>
    </w:p>
    <w:p w:rsidR="00B077C7" w:rsidRDefault="00B077C7">
      <w:pPr>
        <w:pStyle w:val="ConsPlusNormal"/>
        <w:jc w:val="both"/>
      </w:pPr>
    </w:p>
    <w:p w:rsidR="00B077C7" w:rsidRDefault="00B077C7" w:rsidP="00A039CF">
      <w:pPr>
        <w:pStyle w:val="ConsPlusNormal"/>
        <w:ind w:firstLine="540"/>
        <w:jc w:val="both"/>
      </w:pPr>
      <w:r>
        <w:t>Общий объем финансирования муниципальной программы за счет всех источников финансирования составит 4017651,53 тыс. рублей, в том числе по годам:</w:t>
      </w:r>
    </w:p>
    <w:p w:rsidR="00B077C7" w:rsidRDefault="00B077C7" w:rsidP="00A039CF">
      <w:pPr>
        <w:pStyle w:val="ConsPlusNormal"/>
        <w:ind w:firstLine="540"/>
        <w:jc w:val="both"/>
      </w:pPr>
      <w:r>
        <w:t>2014 год - 89712,90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2015 год - 99739,40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2016 год - 166659,60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2017 год - 103154,00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2018 год - 135545,40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2019 год - 225516,60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2020 год - 299313,00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2021 год - 479680,55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2022 год - 483981,38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2023 год - 753688,00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2024 год - 529869,70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2025 год - 178112,00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2026 год - 472679,00 тыс. рублей.</w:t>
      </w:r>
    </w:p>
    <w:p w:rsidR="00B077C7" w:rsidRDefault="00B077C7" w:rsidP="00A039CF">
      <w:pPr>
        <w:pStyle w:val="ConsPlusNormal"/>
        <w:ind w:firstLine="540"/>
        <w:jc w:val="both"/>
      </w:pPr>
      <w:r>
        <w:t xml:space="preserve">Объем финансирования муниципальной 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составит 2233322,03 тыс. рублей, в том числе по годам:</w:t>
      </w:r>
    </w:p>
    <w:p w:rsidR="00B077C7" w:rsidRDefault="00B077C7" w:rsidP="00A039CF">
      <w:pPr>
        <w:pStyle w:val="ConsPlusNormal"/>
        <w:ind w:firstLine="540"/>
        <w:jc w:val="both"/>
      </w:pPr>
      <w:r>
        <w:t>2014 год - 89712,90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2015 год - 82139,00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2016 год - 103159,60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2017 год - 103154,00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2018 год - 119823,40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2019 год - 104918,70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2020 год - 122566,00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lastRenderedPageBreak/>
        <w:t>2021 год - 257993,55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2022 год - 226931,18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2023 год - 395343,00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2024 год - 343389,70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2025 год - 178112,00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2026 год - 106079,00 тыс. рублей.</w:t>
      </w:r>
    </w:p>
    <w:p w:rsidR="00B077C7" w:rsidRDefault="00B077C7" w:rsidP="00A039CF">
      <w:pPr>
        <w:pStyle w:val="ConsPlusNormal"/>
        <w:ind w:firstLine="540"/>
        <w:jc w:val="both"/>
      </w:pPr>
      <w:r>
        <w:t>Объем финансирования муниципальной программы за счет средств областного бюджета составит 1187399,10 тыс. рублей, в том числе по годам:</w:t>
      </w:r>
    </w:p>
    <w:p w:rsidR="00B077C7" w:rsidRDefault="00B077C7" w:rsidP="00A039CF">
      <w:pPr>
        <w:pStyle w:val="ConsPlusNormal"/>
        <w:ind w:firstLine="540"/>
        <w:jc w:val="both"/>
      </w:pPr>
      <w:r>
        <w:t>2018 год - 15722,00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2019 год - 64437,90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2020 год - 108377,00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2021 год - 221687,00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2022 год - 232350,20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2023 год - 358345,00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2024 год - 186480,00 тыс. рублей.</w:t>
      </w:r>
    </w:p>
    <w:p w:rsidR="00B077C7" w:rsidRDefault="00B077C7" w:rsidP="00A039CF">
      <w:pPr>
        <w:pStyle w:val="ConsPlusNormal"/>
        <w:ind w:firstLine="540"/>
        <w:jc w:val="both"/>
      </w:pPr>
      <w:r>
        <w:t>Общий объем финансирования программы за счет средств федерального бюджета составляет 124530,00 тыс. рублей, в том числе по годам:</w:t>
      </w:r>
    </w:p>
    <w:p w:rsidR="00B077C7" w:rsidRDefault="00B077C7" w:rsidP="00A039CF">
      <w:pPr>
        <w:pStyle w:val="ConsPlusNormal"/>
        <w:ind w:firstLine="540"/>
        <w:jc w:val="both"/>
      </w:pPr>
      <w:r>
        <w:t>2019 год - 56160,00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2020 год - 68370,00 тыс. рублей.</w:t>
      </w:r>
    </w:p>
    <w:p w:rsidR="00B077C7" w:rsidRDefault="00B077C7" w:rsidP="00A039CF">
      <w:pPr>
        <w:pStyle w:val="ConsPlusNormal"/>
        <w:ind w:firstLine="540"/>
        <w:jc w:val="both"/>
      </w:pPr>
      <w:r>
        <w:t>Объем финансирования муниципальной программы за счет средств иных источников финансирования составит 472400,40 тыс. рублей, в том числе по годам:</w:t>
      </w:r>
    </w:p>
    <w:p w:rsidR="00B077C7" w:rsidRDefault="00B077C7" w:rsidP="00A039CF">
      <w:pPr>
        <w:pStyle w:val="ConsPlusNormal"/>
        <w:ind w:firstLine="540"/>
        <w:jc w:val="both"/>
      </w:pPr>
      <w:r>
        <w:t>2015 год - 17600,40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2016 год - 63500,00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2022 год - 24700,00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2026 год - 366600,00 тыс. рублей.</w:t>
      </w:r>
    </w:p>
    <w:p w:rsidR="00B077C7" w:rsidRDefault="00B077C7" w:rsidP="00A039CF">
      <w:pPr>
        <w:pStyle w:val="ConsPlusNormal"/>
        <w:ind w:firstLine="540"/>
        <w:jc w:val="both"/>
      </w:pPr>
      <w:r>
        <w:t>Объемы финансирования мероприятий муниципальной программы ежегодно подлежат уточнению при формировании бюджета на очередной финансовый год и плановый период.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right"/>
        <w:outlineLvl w:val="0"/>
      </w:pPr>
      <w:r>
        <w:t>Приложение N 3</w:t>
      </w:r>
    </w:p>
    <w:p w:rsidR="00B077C7" w:rsidRDefault="00B077C7">
      <w:pPr>
        <w:pStyle w:val="ConsPlusNormal"/>
        <w:jc w:val="right"/>
      </w:pPr>
      <w:r>
        <w:t>к постановлению</w:t>
      </w:r>
    </w:p>
    <w:p w:rsidR="00B077C7" w:rsidRDefault="00B077C7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B077C7" w:rsidRDefault="00B077C7">
      <w:pPr>
        <w:pStyle w:val="ConsPlusNormal"/>
        <w:jc w:val="right"/>
      </w:pPr>
      <w:r>
        <w:t>городского округа</w:t>
      </w:r>
    </w:p>
    <w:p w:rsidR="00B077C7" w:rsidRDefault="00B077C7">
      <w:pPr>
        <w:pStyle w:val="ConsPlusNormal"/>
        <w:jc w:val="right"/>
      </w:pPr>
      <w:r>
        <w:t>от 6 июня 2024 г. N 698-па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</w:pPr>
      <w:bookmarkStart w:id="2" w:name="P214"/>
      <w:bookmarkEnd w:id="2"/>
      <w:r>
        <w:t>Подпрограмма</w:t>
      </w:r>
    </w:p>
    <w:p w:rsidR="00B077C7" w:rsidRDefault="00B077C7">
      <w:pPr>
        <w:pStyle w:val="ConsPlusTitle"/>
        <w:jc w:val="center"/>
      </w:pPr>
      <w:r>
        <w:t>"Капитальный ремонт автомобильных дорог общего пользования</w:t>
      </w:r>
    </w:p>
    <w:p w:rsidR="00B077C7" w:rsidRDefault="00B077C7">
      <w:pPr>
        <w:pStyle w:val="ConsPlusTitle"/>
        <w:jc w:val="center"/>
      </w:pPr>
      <w:r>
        <w:t xml:space="preserve">местного значения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B077C7" w:rsidRDefault="00B077C7">
      <w:pPr>
        <w:pStyle w:val="ConsPlusTitle"/>
        <w:jc w:val="center"/>
      </w:pPr>
      <w:r>
        <w:t>Белгородской области"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  <w:outlineLvl w:val="1"/>
      </w:pPr>
      <w:r>
        <w:t>Паспорт подпрограммы</w:t>
      </w:r>
    </w:p>
    <w:p w:rsidR="00B077C7" w:rsidRDefault="00B077C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41"/>
        <w:gridCol w:w="6576"/>
      </w:tblGrid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617" w:type="dxa"/>
            <w:gridSpan w:val="2"/>
          </w:tcPr>
          <w:p w:rsidR="00B077C7" w:rsidRDefault="00B077C7">
            <w:pPr>
              <w:pStyle w:val="ConsPlusNormal"/>
              <w:jc w:val="both"/>
            </w:pPr>
            <w:r>
              <w:t xml:space="preserve">Наименование подпрограммы: "Капитальный ремонт автомобильных дорог общего пользования местного значения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 (далее - подпрограмма 2)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Соисполнитель, ответственный за реализацию подпрограммы 2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МКУ "Управление капитального строительства"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МКУ "Управление капитального строительства"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Цель подпрограммы 2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Задача подпрограммы 2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Улучшение транспортно-эксплуатационных характеристик и потребительских </w:t>
            </w:r>
            <w:proofErr w:type="gramStart"/>
            <w:r>
              <w:t>свойств</w:t>
            </w:r>
            <w:proofErr w:type="gramEnd"/>
            <w:r>
              <w:t xml:space="preserve"> автомобильных дорог с целью снижения транспортных издержек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2014 - 2026 годы.</w:t>
            </w:r>
          </w:p>
          <w:p w:rsidR="00B077C7" w:rsidRDefault="00B077C7">
            <w:pPr>
              <w:pStyle w:val="ConsPlusNormal"/>
              <w:jc w:val="both"/>
            </w:pPr>
            <w:r>
              <w:t>I этап: 2014 - 2020 годы;</w:t>
            </w:r>
          </w:p>
          <w:p w:rsidR="00B077C7" w:rsidRDefault="00B077C7">
            <w:pPr>
              <w:pStyle w:val="ConsPlusNormal"/>
              <w:jc w:val="both"/>
            </w:pPr>
            <w:r>
              <w:t>II этап: 2021 - 2026 годы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 xml:space="preserve">Объемы бюджетных ассигнований подпрограммы 2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Общий объем финансирования подпрограммы 2 за счет всех источников финансирования составит 1267611,55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2016 год - 54557,60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2019 год - 84597,90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2020 год - 116059,00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2021 год - 220475,55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2022 год - 194882,00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2023 год - 329785,50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2024 год - 267254,00 тыс. рублей.</w:t>
            </w:r>
          </w:p>
          <w:p w:rsidR="00B077C7" w:rsidRDefault="00B077C7">
            <w:pPr>
              <w:pStyle w:val="ConsPlusNormal"/>
              <w:jc w:val="both"/>
            </w:pPr>
            <w:r>
              <w:t>Общий объем финансирования подпрограммы 2 за счет средств областного бюджета составит 936286,90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2019 год - 28437,90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2020 год - 32633,00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2021 год - 181292,00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2022 год - 191256,00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2023 год - 316188,00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2024 год - 186480,00 тыс. рублей.</w:t>
            </w:r>
          </w:p>
          <w:p w:rsidR="00B077C7" w:rsidRDefault="00B077C7">
            <w:pPr>
              <w:pStyle w:val="ConsPlusNormal"/>
              <w:jc w:val="both"/>
            </w:pPr>
            <w:r>
              <w:t>Общий объем финансирования подпрограммы 2 за счет средств федерального бюджета составляет 124530,00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2019 год - 56160,00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2020 год - 68370,00 тыс. рублей.</w:t>
            </w:r>
          </w:p>
          <w:p w:rsidR="00B077C7" w:rsidRDefault="00B077C7">
            <w:pPr>
              <w:pStyle w:val="ConsPlusNormal"/>
              <w:jc w:val="both"/>
            </w:pPr>
            <w:r>
              <w:t xml:space="preserve">Общий объем финансирования подпрограммы 2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составляет 152237,05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2020 год - 15056,00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2021 год - 39183,55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2022 год - 3626,00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2023 год - 13597,50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2024 год - 80774,00 тыс. рублей.</w:t>
            </w:r>
          </w:p>
          <w:p w:rsidR="00B077C7" w:rsidRDefault="00B077C7">
            <w:pPr>
              <w:pStyle w:val="ConsPlusNormal"/>
              <w:jc w:val="both"/>
            </w:pPr>
            <w:r>
              <w:t>Общий объем финансирования подпрограммы 2 за счет иных источников финансирования составляет 54557,60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2016 год - 54557,60 тыс. рублей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Показатель конечных результатов реализации подпрограммы 2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</w:t>
            </w:r>
            <w:proofErr w:type="gramStart"/>
            <w:r>
              <w:t>км</w:t>
            </w:r>
            <w:proofErr w:type="gramEnd"/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Конечные результаты подпрограммы 2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К 2026 году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увеличится на 59,152 км</w:t>
            </w:r>
          </w:p>
        </w:tc>
      </w:tr>
    </w:tbl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right"/>
        <w:outlineLvl w:val="0"/>
      </w:pPr>
      <w:r>
        <w:t>Приложение N 4</w:t>
      </w:r>
    </w:p>
    <w:p w:rsidR="00B077C7" w:rsidRDefault="00B077C7">
      <w:pPr>
        <w:pStyle w:val="ConsPlusNormal"/>
        <w:jc w:val="right"/>
      </w:pPr>
      <w:r>
        <w:t>к постановлению</w:t>
      </w:r>
    </w:p>
    <w:p w:rsidR="00B077C7" w:rsidRDefault="00B077C7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B077C7" w:rsidRDefault="00B077C7">
      <w:pPr>
        <w:pStyle w:val="ConsPlusNormal"/>
        <w:jc w:val="right"/>
      </w:pPr>
      <w:r>
        <w:t>городского округа</w:t>
      </w:r>
    </w:p>
    <w:p w:rsidR="00B077C7" w:rsidRDefault="00B077C7">
      <w:pPr>
        <w:pStyle w:val="ConsPlusNormal"/>
        <w:jc w:val="right"/>
      </w:pPr>
      <w:r>
        <w:t>от 6 июня 2024 г. N 698-па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</w:pPr>
      <w:bookmarkStart w:id="3" w:name="P285"/>
      <w:bookmarkEnd w:id="3"/>
      <w:r>
        <w:t>Ресурсное обеспечение подпрограммы 2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ind w:firstLine="540"/>
        <w:jc w:val="both"/>
      </w:pPr>
      <w:r>
        <w:t>Общий объем финансирования подпрограммы 2 за счет всех источников финансирования составит 1267611,55 тыс. рублей, в том числе по годам:</w:t>
      </w:r>
    </w:p>
    <w:p w:rsidR="00B077C7" w:rsidRDefault="00B077C7" w:rsidP="007110BF">
      <w:pPr>
        <w:pStyle w:val="ConsPlusNormal"/>
        <w:ind w:firstLine="540"/>
        <w:jc w:val="both"/>
      </w:pPr>
      <w:r>
        <w:t>2016 год - 54557,60 тыс. рублей;</w:t>
      </w:r>
    </w:p>
    <w:p w:rsidR="00B077C7" w:rsidRDefault="00B077C7" w:rsidP="007110BF">
      <w:pPr>
        <w:pStyle w:val="ConsPlusNormal"/>
        <w:ind w:firstLine="540"/>
        <w:jc w:val="both"/>
      </w:pPr>
      <w:r>
        <w:t>2019 год - 84597,90 тыс. рублей;</w:t>
      </w:r>
    </w:p>
    <w:p w:rsidR="00B077C7" w:rsidRDefault="00B077C7" w:rsidP="007110BF">
      <w:pPr>
        <w:pStyle w:val="ConsPlusNormal"/>
        <w:ind w:firstLine="540"/>
        <w:jc w:val="both"/>
      </w:pPr>
      <w:r>
        <w:t>2020 год - 116059,00 тыс. рублей;</w:t>
      </w:r>
    </w:p>
    <w:p w:rsidR="00B077C7" w:rsidRDefault="00B077C7" w:rsidP="007110BF">
      <w:pPr>
        <w:pStyle w:val="ConsPlusNormal"/>
        <w:ind w:firstLine="540"/>
        <w:jc w:val="both"/>
      </w:pPr>
      <w:r>
        <w:t>2021 год - 220475,55 тыс. рублей;</w:t>
      </w:r>
    </w:p>
    <w:p w:rsidR="00B077C7" w:rsidRDefault="00B077C7" w:rsidP="007110BF">
      <w:pPr>
        <w:pStyle w:val="ConsPlusNormal"/>
        <w:ind w:firstLine="540"/>
        <w:jc w:val="both"/>
      </w:pPr>
      <w:r>
        <w:t>2022 год - 194882,00 тыс. рублей;</w:t>
      </w:r>
    </w:p>
    <w:p w:rsidR="00B077C7" w:rsidRDefault="00B077C7" w:rsidP="007110BF">
      <w:pPr>
        <w:pStyle w:val="ConsPlusNormal"/>
        <w:ind w:firstLine="540"/>
        <w:jc w:val="both"/>
      </w:pPr>
      <w:r>
        <w:t>2023 год - 329785,50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2024 год - 267254,00 тыс. рублей.</w:t>
      </w:r>
    </w:p>
    <w:p w:rsidR="00B077C7" w:rsidRDefault="00B077C7" w:rsidP="00A039CF">
      <w:pPr>
        <w:pStyle w:val="ConsPlusNormal"/>
        <w:ind w:firstLine="540"/>
        <w:jc w:val="both"/>
      </w:pPr>
      <w:r>
        <w:t>Общий объем финансирования подпрограммы 2 за счет средств областного бюджета составит 936286,90 тыс. рублей, в том числе по годам:</w:t>
      </w:r>
    </w:p>
    <w:p w:rsidR="00B077C7" w:rsidRDefault="00B077C7" w:rsidP="00A039CF">
      <w:pPr>
        <w:pStyle w:val="ConsPlusNormal"/>
        <w:ind w:firstLine="540"/>
        <w:jc w:val="both"/>
      </w:pPr>
      <w:r>
        <w:t>2019 год - 28437,90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2020 год - 32633,00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2021 год - 181292,00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2022 год - 191256,00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2023 год - 316188,00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2024 год - 186480,00 тыс. рублей.</w:t>
      </w:r>
    </w:p>
    <w:p w:rsidR="00B077C7" w:rsidRDefault="00B077C7" w:rsidP="00A039CF">
      <w:pPr>
        <w:pStyle w:val="ConsPlusNormal"/>
        <w:ind w:firstLine="540"/>
        <w:jc w:val="both"/>
      </w:pPr>
      <w:r>
        <w:t>Общий объем финансирования подпрограммы 2 за счет средств федерального бюджета составляет 124530,00 тыс. рублей, в том числе по годам:</w:t>
      </w:r>
    </w:p>
    <w:p w:rsidR="00B077C7" w:rsidRDefault="00B077C7" w:rsidP="00A039CF">
      <w:pPr>
        <w:pStyle w:val="ConsPlusNormal"/>
        <w:ind w:firstLine="540"/>
        <w:jc w:val="both"/>
      </w:pPr>
      <w:r>
        <w:t>2019 год - 56160,00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2020 год - 68370,00 тыс. рублей.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 xml:space="preserve">Общий объем финансирования подпрограммы 2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составит 152237,05 тыс. рублей, в том числе по годам:</w:t>
      </w:r>
    </w:p>
    <w:p w:rsidR="00B077C7" w:rsidRDefault="00B077C7" w:rsidP="00A039CF">
      <w:pPr>
        <w:pStyle w:val="ConsPlusNormal"/>
        <w:ind w:firstLine="540"/>
        <w:jc w:val="both"/>
      </w:pPr>
      <w:r>
        <w:t>2020 год - 15056,00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2021 год - 39183,55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2022 год - 3626,00 тыс. рублей;</w:t>
      </w:r>
    </w:p>
    <w:p w:rsidR="00B077C7" w:rsidRDefault="00B077C7" w:rsidP="00A039CF">
      <w:pPr>
        <w:pStyle w:val="ConsPlusNormal"/>
        <w:ind w:firstLine="540"/>
        <w:jc w:val="both"/>
      </w:pPr>
      <w:r>
        <w:t>2023 год - 13597,50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2024 год - 80774,00 тыс. рублей.</w:t>
      </w:r>
    </w:p>
    <w:p w:rsidR="00B077C7" w:rsidRDefault="00B077C7" w:rsidP="00A039CF">
      <w:pPr>
        <w:pStyle w:val="ConsPlusNormal"/>
        <w:ind w:firstLine="540"/>
        <w:jc w:val="both"/>
      </w:pPr>
      <w:r>
        <w:t>Общий объем финансирования подпрограммы 2 за счет иных источников финансирования составляет 54557,60 тыс. рублей, в том числе по годам:</w:t>
      </w:r>
    </w:p>
    <w:p w:rsidR="00B077C7" w:rsidRDefault="00617E64" w:rsidP="00617E64">
      <w:pPr>
        <w:pStyle w:val="ConsPlusNormal"/>
        <w:ind w:firstLine="540"/>
        <w:jc w:val="both"/>
      </w:pPr>
      <w:r>
        <w:t>2016 год - 54557,60 тыс. рублей.</w:t>
      </w:r>
    </w:p>
    <w:p w:rsidR="007110BF" w:rsidRDefault="007110BF" w:rsidP="00617E64">
      <w:pPr>
        <w:pStyle w:val="ConsPlusNormal"/>
        <w:ind w:left="7080" w:firstLine="708"/>
        <w:outlineLvl w:val="0"/>
      </w:pPr>
    </w:p>
    <w:p w:rsidR="007110BF" w:rsidRDefault="007110BF" w:rsidP="00617E64">
      <w:pPr>
        <w:pStyle w:val="ConsPlusNormal"/>
        <w:ind w:left="7080" w:firstLine="708"/>
        <w:outlineLvl w:val="0"/>
      </w:pPr>
    </w:p>
    <w:p w:rsidR="007110BF" w:rsidRDefault="007110BF" w:rsidP="00617E64">
      <w:pPr>
        <w:pStyle w:val="ConsPlusNormal"/>
        <w:ind w:left="7080" w:firstLine="708"/>
        <w:outlineLvl w:val="0"/>
      </w:pPr>
    </w:p>
    <w:p w:rsidR="007110BF" w:rsidRDefault="007110BF" w:rsidP="00617E64">
      <w:pPr>
        <w:pStyle w:val="ConsPlusNormal"/>
        <w:ind w:left="7080" w:firstLine="708"/>
        <w:outlineLvl w:val="0"/>
      </w:pPr>
    </w:p>
    <w:p w:rsidR="007110BF" w:rsidRDefault="007110BF" w:rsidP="00617E64">
      <w:pPr>
        <w:pStyle w:val="ConsPlusNormal"/>
        <w:ind w:left="7080" w:firstLine="708"/>
        <w:outlineLvl w:val="0"/>
      </w:pPr>
    </w:p>
    <w:p w:rsidR="00B077C7" w:rsidRDefault="00B077C7" w:rsidP="00617E64">
      <w:pPr>
        <w:pStyle w:val="ConsPlusNormal"/>
        <w:ind w:left="7080" w:firstLine="708"/>
        <w:outlineLvl w:val="0"/>
      </w:pPr>
      <w:bookmarkStart w:id="4" w:name="_GoBack"/>
      <w:bookmarkEnd w:id="4"/>
      <w:r>
        <w:lastRenderedPageBreak/>
        <w:t>Приложение N 5</w:t>
      </w:r>
    </w:p>
    <w:p w:rsidR="00B077C7" w:rsidRDefault="00B077C7">
      <w:pPr>
        <w:pStyle w:val="ConsPlusNormal"/>
        <w:jc w:val="right"/>
      </w:pPr>
      <w:r>
        <w:t>к постановлению</w:t>
      </w:r>
    </w:p>
    <w:p w:rsidR="00B077C7" w:rsidRDefault="00B077C7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B077C7" w:rsidRDefault="00B077C7">
      <w:pPr>
        <w:pStyle w:val="ConsPlusNormal"/>
        <w:jc w:val="right"/>
      </w:pPr>
      <w:r>
        <w:t>городского округа</w:t>
      </w:r>
    </w:p>
    <w:p w:rsidR="00B077C7" w:rsidRDefault="00B077C7">
      <w:pPr>
        <w:pStyle w:val="ConsPlusNormal"/>
        <w:jc w:val="right"/>
      </w:pPr>
      <w:r>
        <w:t>от 6 июня 2024 г. N 698-па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</w:pPr>
      <w:bookmarkStart w:id="5" w:name="P324"/>
      <w:bookmarkEnd w:id="5"/>
      <w:r>
        <w:t>Подпрограмма</w:t>
      </w:r>
    </w:p>
    <w:p w:rsidR="00B077C7" w:rsidRDefault="00B077C7">
      <w:pPr>
        <w:pStyle w:val="ConsPlusTitle"/>
        <w:jc w:val="center"/>
      </w:pPr>
      <w:r>
        <w:t xml:space="preserve">"Содержание улично-дорожной сети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B077C7" w:rsidRDefault="00B077C7">
      <w:pPr>
        <w:pStyle w:val="ConsPlusTitle"/>
        <w:jc w:val="center"/>
      </w:pPr>
      <w:r>
        <w:t>округа Белгородской области"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  <w:outlineLvl w:val="1"/>
      </w:pPr>
      <w:r>
        <w:t>Паспорт подпрограммы</w:t>
      </w:r>
    </w:p>
    <w:p w:rsidR="00B077C7" w:rsidRDefault="00B077C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41"/>
        <w:gridCol w:w="6576"/>
      </w:tblGrid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617" w:type="dxa"/>
            <w:gridSpan w:val="2"/>
          </w:tcPr>
          <w:p w:rsidR="00B077C7" w:rsidRDefault="00B077C7">
            <w:pPr>
              <w:pStyle w:val="ConsPlusNormal"/>
              <w:jc w:val="both"/>
            </w:pPr>
            <w:r>
              <w:t xml:space="preserve">Наименование подпрограммы: "Содержание улично-дорожной сети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 (далее - подпрограмма 3)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Соисполнитель, ответственный за реализацию подпрограммы 3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Управление жилищно-коммунального комплекса и систем жизнеобеспечения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МКУ "Управление капитального строительства"</w:t>
            </w:r>
          </w:p>
          <w:p w:rsidR="00B077C7" w:rsidRDefault="00B077C7">
            <w:pPr>
              <w:pStyle w:val="ConsPlusNormal"/>
              <w:jc w:val="both"/>
            </w:pPr>
            <w:r>
              <w:t xml:space="preserve">Сельские территориальные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Улучшение транспортно-эксплуатационного состояния существующей сети автомобильных дорог и сооружений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Задача подпрограммы 3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2014 - 2026 годы.</w:t>
            </w:r>
          </w:p>
          <w:p w:rsidR="00B077C7" w:rsidRDefault="00B077C7">
            <w:pPr>
              <w:pStyle w:val="ConsPlusNormal"/>
              <w:jc w:val="both"/>
            </w:pPr>
            <w:r>
              <w:t>I этап: 2014 - 2020 годы;</w:t>
            </w:r>
          </w:p>
          <w:p w:rsidR="00B077C7" w:rsidRDefault="00B077C7">
            <w:pPr>
              <w:pStyle w:val="ConsPlusNormal"/>
              <w:jc w:val="both"/>
            </w:pPr>
            <w:r>
              <w:t>II этап: 2021 - 2026 годы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 xml:space="preserve">Объем бюджетных ассигнований подпрограммы 3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 (с расшифровкой плановых объемов бюджетных ассигнований по годам ее реализации), а также прогнозный </w:t>
            </w:r>
            <w:r>
              <w:lastRenderedPageBreak/>
              <w:t>объем средств, привлекаемый из других источников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lastRenderedPageBreak/>
              <w:t>Общий объем финансирования подпрограммы 3 за счет всех источников финансирования составит 1896002,78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2014 год - 58373,40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2015 год - 64698,00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2016 год - 103159,60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2017 год - 103154,00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2018 год - 119806,40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2019 год - 98418,70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2020 год - 96394,00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2021 год - 135846,60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2022 год - 213699,38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2023 год - 355646,00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2024 год - 262615,70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2025 год - 178112,00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2026 год - 106079,00 тыс. рублей.</w:t>
            </w:r>
          </w:p>
          <w:p w:rsidR="00B077C7" w:rsidRDefault="00B077C7">
            <w:pPr>
              <w:pStyle w:val="ConsPlusNormal"/>
              <w:jc w:val="both"/>
            </w:pPr>
            <w:r>
              <w:t xml:space="preserve">Общий объем финансирования подпрограммы 3 за счет средств 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составит 1882668,58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lastRenderedPageBreak/>
              <w:t>2014 год - 58373,40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2015 год - 64698,00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2016 год - 103159,60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2017 год - 103154,00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2018 год - 119806,40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2019 год - 98418,70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2020 год - 96394,00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2021 год - 127646,60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2022 год - 208565,18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2023 год - 355646,00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2024 год - 262615,70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2025 год - 178112,00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2026 год - 106079,00 тыс. рублей.</w:t>
            </w:r>
          </w:p>
          <w:p w:rsidR="00B077C7" w:rsidRDefault="00B077C7">
            <w:pPr>
              <w:pStyle w:val="ConsPlusNormal"/>
              <w:jc w:val="both"/>
            </w:pPr>
            <w:r>
              <w:t>Общий объем финансирования подпрограммы 3 за счет средств областного бюджета составляет 13334,20 тыс. рублей, в том числе по годам:</w:t>
            </w:r>
          </w:p>
          <w:p w:rsidR="00B077C7" w:rsidRDefault="00B077C7">
            <w:pPr>
              <w:pStyle w:val="ConsPlusNormal"/>
              <w:jc w:val="both"/>
            </w:pPr>
            <w:r>
              <w:t>2021 год - 8200,00 тыс. рублей;</w:t>
            </w:r>
          </w:p>
          <w:p w:rsidR="00B077C7" w:rsidRDefault="00B077C7">
            <w:pPr>
              <w:pStyle w:val="ConsPlusNormal"/>
              <w:jc w:val="both"/>
            </w:pPr>
            <w:r>
              <w:t>2022 год - 5134,20 тыс. рублей</w:t>
            </w:r>
          </w:p>
          <w:p w:rsidR="00B077C7" w:rsidRDefault="00B077C7">
            <w:pPr>
              <w:pStyle w:val="ConsPlusNormal"/>
              <w:jc w:val="both"/>
            </w:pPr>
            <w:r>
              <w:t xml:space="preserve">В ходе реализации подпрограммы 3 отдельные мероприятия могут уточняться, а объем финансирования подлежит корректировке с учетом возможностей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Показатели конечных результатов реализации подпрограммы 3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>Доля площади убираемой территории в общей площади, подлежащей уборке</w:t>
            </w:r>
            <w:proofErr w:type="gramStart"/>
            <w:r>
              <w:t>, %;</w:t>
            </w:r>
            <w:proofErr w:type="gramEnd"/>
          </w:p>
          <w:p w:rsidR="00B077C7" w:rsidRDefault="00B077C7">
            <w:pPr>
              <w:pStyle w:val="ConsPlusNormal"/>
              <w:jc w:val="both"/>
            </w:pPr>
            <w:r>
              <w:t>Доля механизированной уборки в общем объеме работ по содержанию улично-дорожной сети, %</w:t>
            </w:r>
          </w:p>
        </w:tc>
      </w:tr>
      <w:tr w:rsidR="00B077C7">
        <w:tc>
          <w:tcPr>
            <w:tcW w:w="454" w:type="dxa"/>
          </w:tcPr>
          <w:p w:rsidR="00B077C7" w:rsidRDefault="00B077C7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041" w:type="dxa"/>
          </w:tcPr>
          <w:p w:rsidR="00B077C7" w:rsidRDefault="00B077C7">
            <w:pPr>
              <w:pStyle w:val="ConsPlusNormal"/>
            </w:pPr>
            <w:r>
              <w:t>Конечные результаты реализации подпрограммы 3</w:t>
            </w:r>
          </w:p>
        </w:tc>
        <w:tc>
          <w:tcPr>
            <w:tcW w:w="6576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Увеличение доли площади убираемой территории в общей площади, подлежащей уборке, </w:t>
            </w:r>
            <w:proofErr w:type="gramStart"/>
            <w:r>
              <w:t>на конец</w:t>
            </w:r>
            <w:proofErr w:type="gramEnd"/>
            <w:r>
              <w:t xml:space="preserve"> 2026 года до 90%;</w:t>
            </w:r>
          </w:p>
          <w:p w:rsidR="00B077C7" w:rsidRDefault="00B077C7">
            <w:pPr>
              <w:pStyle w:val="ConsPlusNormal"/>
              <w:jc w:val="both"/>
            </w:pPr>
            <w:r>
              <w:t xml:space="preserve">Увеличение доли механизированной уборки в общем объеме работ по содержанию улично-дорожной сети </w:t>
            </w:r>
            <w:proofErr w:type="gramStart"/>
            <w:r>
              <w:t>на конец</w:t>
            </w:r>
            <w:proofErr w:type="gramEnd"/>
            <w:r>
              <w:t xml:space="preserve"> 2026 года до 74%</w:t>
            </w:r>
          </w:p>
        </w:tc>
      </w:tr>
    </w:tbl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right"/>
        <w:outlineLvl w:val="0"/>
      </w:pPr>
      <w:r>
        <w:t>Приложение N 6</w:t>
      </w:r>
    </w:p>
    <w:p w:rsidR="00B077C7" w:rsidRDefault="00B077C7">
      <w:pPr>
        <w:pStyle w:val="ConsPlusNormal"/>
        <w:jc w:val="right"/>
      </w:pPr>
      <w:r>
        <w:t>к постановлению</w:t>
      </w:r>
    </w:p>
    <w:p w:rsidR="00B077C7" w:rsidRDefault="00B077C7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B077C7" w:rsidRDefault="00B077C7">
      <w:pPr>
        <w:pStyle w:val="ConsPlusNormal"/>
        <w:jc w:val="right"/>
      </w:pPr>
      <w:r>
        <w:t>городского округа</w:t>
      </w:r>
    </w:p>
    <w:p w:rsidR="00B077C7" w:rsidRDefault="00B077C7">
      <w:pPr>
        <w:pStyle w:val="ConsPlusNormal"/>
        <w:jc w:val="right"/>
      </w:pPr>
      <w:r>
        <w:t>от 6 июня 2024 г. N 698-па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</w:pPr>
      <w:bookmarkStart w:id="6" w:name="P403"/>
      <w:bookmarkEnd w:id="6"/>
      <w:r>
        <w:t>Ресурсное обеспечение подпрограммы 3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ind w:firstLine="540"/>
        <w:jc w:val="both"/>
      </w:pPr>
      <w:r>
        <w:t>Общий объем финансирования подпрограммы 3 за счет всех источников финансирования составит 1896002,78 тыс. рублей, в том числе по годам: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2014 год - 58373,40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2015 год - 64698,00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2016 год - 103159,60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2017 год - 103154,00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lastRenderedPageBreak/>
        <w:t>2018 год - 119806,40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2019 год - 98418,70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2020 год - 96394,00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2021 год - 135846,60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2022 год - 213699,38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2023 год - 355646,00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2024 год - 262615,70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2025 год - 178112,00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2026 год - 106079,00 тыс. рублей.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Общий объем финансирования подпрограммы 3 за счет средств бюджета городского округа составит 1882668,58 тыс. рублей, в том числе по годам: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2014 год - 58373,40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2015 год - 64698,00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2016 год - 103159,60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2017 год - 103154,00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2018 год - 119806,40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2019 год - 98418,70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2020 год - 96394,00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2021 год - 127646,60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2022 год - 208565,18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2023 год - 355646,00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2024 год - 262615,70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2025 год - 178112,00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2026 год - 106079,00 тыс. рублей.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Общий объем финансирования подпрограммы 3 за счет средств областного бюджета составляет 13334,20 тыс. рублей, в том числе по годам: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2021 год - 8200,00 тыс. рублей;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>2022 год - 5134,20 тыс. рублей.</w:t>
      </w:r>
    </w:p>
    <w:p w:rsidR="00B077C7" w:rsidRDefault="00B077C7">
      <w:pPr>
        <w:pStyle w:val="ConsPlusNormal"/>
        <w:spacing w:before="220"/>
        <w:ind w:firstLine="540"/>
        <w:jc w:val="both"/>
      </w:pPr>
      <w:r>
        <w:t xml:space="preserve">В ходе реализации подпрограммы 3 отдельные мероприятия могут уточняться, а объем финансирования подлежит корректировке с учетом возможностей бюджета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A039CF" w:rsidRDefault="00A039CF">
      <w:pPr>
        <w:pStyle w:val="ConsPlusNormal"/>
        <w:jc w:val="both"/>
      </w:pPr>
    </w:p>
    <w:p w:rsidR="00B077C7" w:rsidRDefault="00B077C7">
      <w:pPr>
        <w:pStyle w:val="ConsPlusNormal"/>
        <w:jc w:val="right"/>
        <w:outlineLvl w:val="0"/>
      </w:pPr>
      <w:r>
        <w:lastRenderedPageBreak/>
        <w:t>Приложение N 7</w:t>
      </w:r>
    </w:p>
    <w:p w:rsidR="00B077C7" w:rsidRDefault="00B077C7">
      <w:pPr>
        <w:pStyle w:val="ConsPlusNormal"/>
        <w:jc w:val="right"/>
      </w:pPr>
      <w:r>
        <w:t>к постановлению</w:t>
      </w:r>
    </w:p>
    <w:p w:rsidR="00B077C7" w:rsidRDefault="00B077C7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B077C7" w:rsidRDefault="00B077C7">
      <w:pPr>
        <w:pStyle w:val="ConsPlusNormal"/>
        <w:jc w:val="right"/>
      </w:pPr>
      <w:r>
        <w:t>городского округа</w:t>
      </w:r>
    </w:p>
    <w:p w:rsidR="00B077C7" w:rsidRDefault="00B077C7">
      <w:pPr>
        <w:pStyle w:val="ConsPlusNormal"/>
        <w:jc w:val="right"/>
      </w:pPr>
      <w:r>
        <w:t>от 6 июня 2024 г. N 698-па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</w:pPr>
      <w:bookmarkStart w:id="7" w:name="P448"/>
      <w:bookmarkEnd w:id="7"/>
      <w:r>
        <w:t>РЕСУРСНОЕ ОБЕСПЕЧЕНИЕ И ПРОГНОЗНАЯ (СПРАВОЧНАЯ) ОЦЕНКА</w:t>
      </w:r>
    </w:p>
    <w:p w:rsidR="00B077C7" w:rsidRDefault="00B077C7">
      <w:pPr>
        <w:pStyle w:val="ConsPlusTitle"/>
        <w:jc w:val="center"/>
      </w:pPr>
      <w:r>
        <w:t>РАСХОДОВ НА РЕАЛИЗАЦИЮ ОСНОВНЫХ МЕРОПРИЯТИЙ (МЕРОПРИЯТИЙ)</w:t>
      </w:r>
    </w:p>
    <w:p w:rsidR="00B077C7" w:rsidRDefault="00B077C7">
      <w:pPr>
        <w:pStyle w:val="ConsPlusTitle"/>
        <w:jc w:val="center"/>
      </w:pPr>
      <w:r>
        <w:t>МУНИЦИПАЛЬНОЙ ПРОГРАММЫ ГУБКИНСКОГО ГОРОДСКОГО ОКРУГА</w:t>
      </w:r>
    </w:p>
    <w:p w:rsidR="00B077C7" w:rsidRDefault="00B077C7">
      <w:pPr>
        <w:pStyle w:val="ConsPlusTitle"/>
        <w:jc w:val="center"/>
      </w:pPr>
      <w:r>
        <w:t>БЕЛГОРОДСКОЙ ОБЛАСТИ ИЗ РАЗЛИЧНЫХ ИСТОЧНИКОВ ФИНАНСИРОВАНИЯ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  <w:outlineLvl w:val="1"/>
      </w:pPr>
      <w:r>
        <w:t>II этап реализации муниципальной программы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sectPr w:rsidR="00B077C7" w:rsidSect="00182A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779"/>
        <w:gridCol w:w="2268"/>
        <w:gridCol w:w="1204"/>
        <w:gridCol w:w="1204"/>
        <w:gridCol w:w="1084"/>
        <w:gridCol w:w="1084"/>
        <w:gridCol w:w="1084"/>
        <w:gridCol w:w="1084"/>
      </w:tblGrid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6744" w:type="dxa"/>
            <w:gridSpan w:val="6"/>
          </w:tcPr>
          <w:p w:rsidR="00B077C7" w:rsidRDefault="00B077C7">
            <w:pPr>
              <w:pStyle w:val="ConsPlusNormal"/>
              <w:jc w:val="center"/>
            </w:pPr>
            <w:r>
              <w:t>Оценка расходов на II этап реализации программы (тыс. руб.), годы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2026</w:t>
            </w:r>
          </w:p>
        </w:tc>
      </w:tr>
      <w:tr w:rsidR="00B077C7">
        <w:tc>
          <w:tcPr>
            <w:tcW w:w="1789" w:type="dxa"/>
          </w:tcPr>
          <w:p w:rsidR="00B077C7" w:rsidRDefault="00B077C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9" w:type="dxa"/>
          </w:tcPr>
          <w:p w:rsidR="00B077C7" w:rsidRDefault="00B077C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B077C7" w:rsidRDefault="00B077C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9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 xml:space="preserve">Развитие автомобильных </w:t>
            </w:r>
            <w:proofErr w:type="gramStart"/>
            <w:r>
              <w:t xml:space="preserve">дорог общего пользования местного значения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  <w:proofErr w:type="gramEnd"/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479 680,55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483 981,38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753 688,0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529 869,7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178 112,0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472 679,0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257 993,55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226 931,18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395 343,0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343 389,7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178 112,0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106 079,0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221 687,0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232 350,2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358 345,0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186 480,0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24 700,0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366 600,0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Подпрограмма 1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 xml:space="preserve">Строительство (реконструкция) дорог с твердым покрытием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123 358,4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75 400,0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68 256,5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316 600,0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91 163,4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14 740,0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26 099,5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32 195,0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35 960,0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42 157,0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24 700,0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316 600,0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lastRenderedPageBreak/>
              <w:t>Основное мероприятие 1.1.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123 358,4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75 400,0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68 256,5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316 600,0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91 163,4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14 740,0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26 099,5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32 195,0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35 960,0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42 157,0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24 700,0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316 600,0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Мероприятие 1.1.1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35 800,0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10 289,0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50 000,0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888,0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10 289,0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10 212,0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24 700,0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50 000,0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Мероприятие 1.1.2.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Строительство автомобильных дорог общего пользования местного значения в населенных пунктах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123 358,4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14 400,0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57 967,5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266 600,0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91 163,4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1 152,0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15 810,5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32 195,0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13 248,0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42 157,0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266 600,0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Мероприятие 1.1.3.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Проектно-изыскательские работы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25 200,0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12 700,0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12 500,0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Подпрограмма 2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 xml:space="preserve">Капитальный ремонт автомобильных </w:t>
            </w:r>
            <w:proofErr w:type="gramStart"/>
            <w:r>
              <w:t xml:space="preserve">дорог общего пользования местного значения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  <w:proofErr w:type="gramEnd"/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220 475,55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194 882,0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329 785,5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267 254,0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39 183,55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3 626,0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13 597,5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80 774,0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181 292,0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191 256,0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316 188,0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186 480,0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 xml:space="preserve">Капитальный ремонт автомобильных дорог по сельским населенным </w:t>
            </w:r>
            <w:r>
              <w:lastRenderedPageBreak/>
              <w:t>пунктам городского округа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2 311,2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1 569,0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6 500,0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2 311,2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126,0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1 443,0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6 500,0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Капитальный ремонт автомобильных дорог в г. Губкине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218 164,35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193 313,0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323 285,5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267 254,0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36 872,35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13 597,5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80 774,0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181 292,0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189 813,0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309 688,0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186 480,0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</w:pPr>
            <w:r>
              <w:t>в том числе по федеральному проекту "Дорожная сеть"</w:t>
            </w:r>
          </w:p>
        </w:tc>
        <w:tc>
          <w:tcPr>
            <w:tcW w:w="2268" w:type="dxa"/>
          </w:tcPr>
          <w:p w:rsidR="00B077C7" w:rsidRDefault="00B077C7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167 492,0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189 813,0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251 427,0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186 480,0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167 492,0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189 813,0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251 427,0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186 480,0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Подпрограмма 3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 xml:space="preserve">Содержание улично-дорожной сети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135 846,6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213 699,38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355 646,0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262 615,7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178 112,0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106 079,0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127 646,6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208 565,18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355 646,0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262 615,7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178 112,0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106 079,0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8 200,0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5 134,2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135 846,6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213 699,38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338 646,0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73 523,7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7 125,0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127 646,6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208 565,18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338 646,0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73 523,7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7 125,0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8 200,0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5 134,2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Обеспечение деятельности (оказание услуг) подведомственных учреждений (организаций), в том числе предоставление муниципальным бюджетным учреждениям субсидий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17 000,0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189 092,0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170 987,0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106 079,0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17 000,0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189 092,0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170 987,0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106 079,0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Подпрограмма 4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 xml:space="preserve">Благоустройство дворовых территорий многоквартирных домов, </w:t>
            </w:r>
            <w:r>
              <w:lastRenderedPageBreak/>
              <w:t xml:space="preserve">проездов к дворовым территориям многоквартирных домов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50 000,0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50 000,0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Основное мероприятие 4.1.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Благоустройство дворовых территорий</w:t>
            </w: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Всего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50 000,0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B077C7" w:rsidRDefault="00B077C7">
            <w:pPr>
              <w:pStyle w:val="ConsPlusNormal"/>
            </w:pPr>
            <w:r>
              <w:t>иные источники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Align w:val="center"/>
          </w:tcPr>
          <w:p w:rsidR="00B077C7" w:rsidRDefault="00B077C7">
            <w:pPr>
              <w:pStyle w:val="ConsPlusNormal"/>
              <w:jc w:val="center"/>
            </w:pPr>
            <w:r>
              <w:t>50 000,0</w:t>
            </w:r>
          </w:p>
        </w:tc>
      </w:tr>
    </w:tbl>
    <w:p w:rsidR="00B077C7" w:rsidRDefault="00B077C7">
      <w:pPr>
        <w:pStyle w:val="ConsPlusNormal"/>
        <w:sectPr w:rsidR="00B077C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077C7" w:rsidRDefault="00B077C7" w:rsidP="00A039CF">
      <w:pPr>
        <w:pStyle w:val="ConsPlusNormal"/>
        <w:ind w:left="14160"/>
        <w:outlineLvl w:val="0"/>
      </w:pPr>
      <w:r>
        <w:lastRenderedPageBreak/>
        <w:t>Приложение N 8</w:t>
      </w:r>
    </w:p>
    <w:p w:rsidR="00B077C7" w:rsidRDefault="00B077C7">
      <w:pPr>
        <w:pStyle w:val="ConsPlusNormal"/>
        <w:jc w:val="right"/>
      </w:pPr>
      <w:r>
        <w:t>к постановлению</w:t>
      </w:r>
    </w:p>
    <w:p w:rsidR="00B077C7" w:rsidRDefault="00B077C7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B077C7" w:rsidRDefault="00B077C7">
      <w:pPr>
        <w:pStyle w:val="ConsPlusNormal"/>
        <w:jc w:val="right"/>
      </w:pPr>
      <w:r>
        <w:t>городского округа</w:t>
      </w:r>
    </w:p>
    <w:p w:rsidR="00B077C7" w:rsidRDefault="00B077C7">
      <w:pPr>
        <w:pStyle w:val="ConsPlusNormal"/>
        <w:jc w:val="right"/>
      </w:pPr>
      <w:r>
        <w:t>от 6 июня 2024 г. N 698-па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</w:pPr>
      <w:bookmarkStart w:id="8" w:name="P1123"/>
      <w:bookmarkEnd w:id="8"/>
      <w:r>
        <w:t>РЕСУРСНОЕ ОБЕСПЕЧЕНИЕ РЕАЛИЗАЦИИ МУНИЦИПАЛЬНОЙ ПРОГРАММЫ</w:t>
      </w:r>
    </w:p>
    <w:p w:rsidR="00B077C7" w:rsidRDefault="00B077C7">
      <w:pPr>
        <w:pStyle w:val="ConsPlusTitle"/>
        <w:jc w:val="center"/>
      </w:pPr>
      <w:r>
        <w:t>"РАЗВИТИЕ АВТОМОБИЛЬНЫХ ДОРОГ ОБЩЕГО ПОЛЬЗОВАНИЯ МЕСТНОГО</w:t>
      </w:r>
    </w:p>
    <w:p w:rsidR="00B077C7" w:rsidRDefault="00B077C7">
      <w:pPr>
        <w:pStyle w:val="ConsPlusTitle"/>
        <w:jc w:val="center"/>
      </w:pPr>
      <w:r>
        <w:t>ЗНАЧЕНИЯ ГУБКИНСКОГО ГОРОДСКОГО ОКРУГА БЕЛГОРОДСКОЙ ОБЛАСТИ"</w:t>
      </w:r>
    </w:p>
    <w:p w:rsidR="00B077C7" w:rsidRDefault="00B077C7">
      <w:pPr>
        <w:pStyle w:val="ConsPlusTitle"/>
        <w:jc w:val="center"/>
      </w:pPr>
      <w:r>
        <w:t>ЗА СЧЕТ СРЕДСТВ БЮДЖЕТА ГУБКИНСКОГО ГОРОДСКОГО ОКРУГА</w:t>
      </w:r>
    </w:p>
    <w:p w:rsidR="00B077C7" w:rsidRDefault="00B077C7">
      <w:pPr>
        <w:pStyle w:val="ConsPlusTitle"/>
        <w:jc w:val="center"/>
      </w:pPr>
      <w:r>
        <w:t>БЕЛГОРОДСКОЙ ОБЛАСТИ</w:t>
      </w: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Title"/>
        <w:jc w:val="center"/>
        <w:outlineLvl w:val="1"/>
      </w:pPr>
      <w:r>
        <w:t>II этап реализации муниципальной программы</w:t>
      </w:r>
    </w:p>
    <w:p w:rsidR="00B077C7" w:rsidRDefault="00B077C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779"/>
        <w:gridCol w:w="2749"/>
        <w:gridCol w:w="694"/>
        <w:gridCol w:w="1399"/>
        <w:gridCol w:w="1204"/>
        <w:gridCol w:w="1204"/>
        <w:gridCol w:w="1084"/>
        <w:gridCol w:w="1084"/>
        <w:gridCol w:w="1024"/>
        <w:gridCol w:w="1024"/>
      </w:tblGrid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749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Ответственный исполнитель, соисполнитель, участники</w:t>
            </w:r>
          </w:p>
        </w:tc>
        <w:tc>
          <w:tcPr>
            <w:tcW w:w="2093" w:type="dxa"/>
            <w:gridSpan w:val="2"/>
          </w:tcPr>
          <w:p w:rsidR="00B077C7" w:rsidRDefault="00B077C7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6624" w:type="dxa"/>
            <w:gridSpan w:val="6"/>
          </w:tcPr>
          <w:p w:rsidR="00B077C7" w:rsidRDefault="00B077C7">
            <w:pPr>
              <w:pStyle w:val="ConsPlusNormal"/>
              <w:jc w:val="center"/>
            </w:pPr>
            <w:r>
              <w:t>Оценка расходов на II этап реализации программы</w:t>
            </w:r>
          </w:p>
          <w:p w:rsidR="00B077C7" w:rsidRDefault="00B077C7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2026</w:t>
            </w:r>
          </w:p>
        </w:tc>
      </w:tr>
      <w:tr w:rsidR="00B077C7">
        <w:tc>
          <w:tcPr>
            <w:tcW w:w="1789" w:type="dxa"/>
          </w:tcPr>
          <w:p w:rsidR="00B077C7" w:rsidRDefault="00B077C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9" w:type="dxa"/>
          </w:tcPr>
          <w:p w:rsidR="00B077C7" w:rsidRDefault="00B077C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11</w:t>
            </w:r>
          </w:p>
        </w:tc>
      </w:tr>
      <w:tr w:rsidR="00B077C7">
        <w:tc>
          <w:tcPr>
            <w:tcW w:w="1789" w:type="dxa"/>
          </w:tcPr>
          <w:p w:rsidR="00B077C7" w:rsidRDefault="00B077C7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79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Развитие автомобильных </w:t>
            </w:r>
            <w:proofErr w:type="gramStart"/>
            <w:r>
              <w:t xml:space="preserve">дорог общего пользования местного значения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  <w:proofErr w:type="gramEnd"/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комитета градостроительной политики)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257 993,55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226 931,18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395 343,0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343 389,7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178112,0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106079,0</w:t>
            </w:r>
          </w:p>
        </w:tc>
      </w:tr>
      <w:tr w:rsidR="00B077C7">
        <w:tc>
          <w:tcPr>
            <w:tcW w:w="1789" w:type="dxa"/>
          </w:tcPr>
          <w:p w:rsidR="00B077C7" w:rsidRDefault="00B077C7">
            <w:pPr>
              <w:pStyle w:val="ConsPlusNormal"/>
            </w:pPr>
            <w:r>
              <w:t>Подпрограмма 1</w:t>
            </w:r>
          </w:p>
        </w:tc>
        <w:tc>
          <w:tcPr>
            <w:tcW w:w="2779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Строительство (реконструкция) дорог с твердым покрытием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</w:t>
            </w:r>
            <w:r>
              <w:lastRenderedPageBreak/>
              <w:t>Белгородской области</w:t>
            </w: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r>
              <w:lastRenderedPageBreak/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91 163,4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14 740,0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26 099,5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lastRenderedPageBreak/>
              <w:t>Основное мероприятие 1.1.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74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1110100000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91 163,4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14 740,0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26 099,5</w:t>
            </w:r>
          </w:p>
        </w:tc>
        <w:tc>
          <w:tcPr>
            <w:tcW w:w="108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1110131110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77 681,0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12 700,0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22 432,5</w:t>
            </w: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111012012N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2 266,0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11101S012N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742,0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111012012P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971,5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11101S012P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280,0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111012012L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8 550,4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11101S012L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672,5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11101S2130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2 040,0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3 667,0</w:t>
            </w: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Мероприятие 1.1.1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74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1110100000</w:t>
            </w:r>
          </w:p>
        </w:tc>
        <w:tc>
          <w:tcPr>
            <w:tcW w:w="120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888,0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10 289,0</w:t>
            </w:r>
          </w:p>
        </w:tc>
        <w:tc>
          <w:tcPr>
            <w:tcW w:w="108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1110131110</w:t>
            </w:r>
          </w:p>
        </w:tc>
        <w:tc>
          <w:tcPr>
            <w:tcW w:w="120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20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9 706,0</w:t>
            </w: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11101S2130</w:t>
            </w:r>
          </w:p>
        </w:tc>
        <w:tc>
          <w:tcPr>
            <w:tcW w:w="120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20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583,0</w:t>
            </w: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Мероприятие 1.1.2.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 xml:space="preserve">Строительство автомобильных дорог </w:t>
            </w:r>
            <w:r>
              <w:lastRenderedPageBreak/>
              <w:t>общего пользования местного значения в населенных пунктах</w:t>
            </w:r>
          </w:p>
        </w:tc>
        <w:tc>
          <w:tcPr>
            <w:tcW w:w="274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lastRenderedPageBreak/>
              <w:t xml:space="preserve">МКУ "Управление капитального </w:t>
            </w:r>
            <w:r>
              <w:lastRenderedPageBreak/>
              <w:t>строительства"</w:t>
            </w:r>
          </w:p>
        </w:tc>
        <w:tc>
          <w:tcPr>
            <w:tcW w:w="69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lastRenderedPageBreak/>
              <w:t>855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1110100000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91 163,4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1 152,0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15 810,5</w:t>
            </w:r>
          </w:p>
        </w:tc>
        <w:tc>
          <w:tcPr>
            <w:tcW w:w="108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1110131110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77 681,0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12 726,5</w:t>
            </w: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111012012N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2 266,0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11101S012N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742,0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111012012P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971,5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11101S012P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280,0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111012012L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8 550,4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11101S012L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672,5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11101S2130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1 152,0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3 084,0</w:t>
            </w: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</w:tcPr>
          <w:p w:rsidR="00B077C7" w:rsidRDefault="00B077C7">
            <w:pPr>
              <w:pStyle w:val="ConsPlusNormal"/>
            </w:pPr>
            <w:r>
              <w:t>Мероприятие 1.1.3.</w:t>
            </w:r>
          </w:p>
        </w:tc>
        <w:tc>
          <w:tcPr>
            <w:tcW w:w="2779" w:type="dxa"/>
          </w:tcPr>
          <w:p w:rsidR="00B077C7" w:rsidRDefault="00B077C7">
            <w:pPr>
              <w:pStyle w:val="ConsPlusNormal"/>
              <w:jc w:val="both"/>
            </w:pPr>
            <w:r>
              <w:t>Проектно-изыскательские работы</w:t>
            </w: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r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1110131110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12 700,0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</w:tcPr>
          <w:p w:rsidR="00B077C7" w:rsidRDefault="00B077C7">
            <w:pPr>
              <w:pStyle w:val="ConsPlusNormal"/>
            </w:pPr>
            <w:r>
              <w:t>Подпрограмма 2</w:t>
            </w:r>
          </w:p>
        </w:tc>
        <w:tc>
          <w:tcPr>
            <w:tcW w:w="2779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Капитальный ремонт автомобильных </w:t>
            </w:r>
            <w:proofErr w:type="gramStart"/>
            <w:r>
              <w:t xml:space="preserve">дорог общего пользования местного значения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  <w:proofErr w:type="gramEnd"/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r>
              <w:t>МКУ "Управление капитального строительства"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39 183,55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3 626,0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13 597,5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80 774,0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74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1120100000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126,0</w:t>
            </w:r>
          </w:p>
        </w:tc>
        <w:tc>
          <w:tcPr>
            <w:tcW w:w="108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1120125020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2 311,2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11201S2140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126,0</w:t>
            </w: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</w:pPr>
            <w:r>
              <w:t xml:space="preserve">Капитальный ремонт автомобильных дорог в г. </w:t>
            </w:r>
            <w:r>
              <w:lastRenderedPageBreak/>
              <w:t>Губкине</w:t>
            </w:r>
          </w:p>
        </w:tc>
        <w:tc>
          <w:tcPr>
            <w:tcW w:w="274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lastRenderedPageBreak/>
              <w:t xml:space="preserve">МКУ "Управление капитального </w:t>
            </w:r>
            <w:r>
              <w:lastRenderedPageBreak/>
              <w:t>строительства"</w:t>
            </w:r>
          </w:p>
        </w:tc>
        <w:tc>
          <w:tcPr>
            <w:tcW w:w="69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lastRenderedPageBreak/>
              <w:t>855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1120200000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36 872,35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13 597,5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80 774,0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11202S2140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1 200,0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1120225030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35 672,35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13 597,5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80 774,0</w:t>
            </w: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</w:tcPr>
          <w:p w:rsidR="00B077C7" w:rsidRDefault="00B077C7">
            <w:pPr>
              <w:pStyle w:val="ConsPlusNormal"/>
            </w:pPr>
            <w:r>
              <w:lastRenderedPageBreak/>
              <w:t>Подпрограмма 3</w:t>
            </w:r>
          </w:p>
        </w:tc>
        <w:tc>
          <w:tcPr>
            <w:tcW w:w="2779" w:type="dxa"/>
          </w:tcPr>
          <w:p w:rsidR="00B077C7" w:rsidRDefault="00B077C7">
            <w:pPr>
              <w:pStyle w:val="ConsPlusNormal"/>
              <w:jc w:val="both"/>
            </w:pPr>
            <w:r>
              <w:t xml:space="preserve">Содержание улично-дорожной сети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r>
              <w:t>Управление жилищно-коммунального комплекса и систем жизнеобеспечения, МКУ "Управление капитального строительства", сельские территориальные администрации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127 646,6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208 565,18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  <w:r>
              <w:t>355 646,0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  <w:r>
              <w:t>262 615,7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</w:pPr>
            <w:r>
              <w:t>178112,0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</w:pPr>
            <w:r>
              <w:t>106079,0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74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1130100000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93 577,0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</w:pPr>
            <w:r>
              <w:t>136777,48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119 937,0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3 204,0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93 577,0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136 447,3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119 937,0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3 204,0</w:t>
            </w: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11301S0306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14,2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Merge w:val="restart"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1130120306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315,98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МКУ "Управление капитального строительства"</w:t>
            </w:r>
          </w:p>
        </w:tc>
        <w:tc>
          <w:tcPr>
            <w:tcW w:w="69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1130100000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27 263,0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65 293,1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  <w:r>
              <w:t>211 435,1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62 237,0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26 796,9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64 357,0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</w:pPr>
            <w:r>
              <w:t>211 435,1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62 237,0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1130120300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113012012R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11301S012R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34,9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113012012Q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11301S012Q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396,8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11301S0308</w:t>
            </w:r>
          </w:p>
        </w:tc>
        <w:tc>
          <w:tcPr>
            <w:tcW w:w="120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108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  <w:vMerge w:val="restart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11301S0320</w:t>
            </w:r>
          </w:p>
        </w:tc>
        <w:tc>
          <w:tcPr>
            <w:tcW w:w="120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179,1</w:t>
            </w: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8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024" w:type="dxa"/>
            <w:vMerge/>
          </w:tcPr>
          <w:p w:rsidR="00B077C7" w:rsidRDefault="00B077C7">
            <w:pPr>
              <w:pStyle w:val="ConsPlusNormal"/>
            </w:pP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1130120320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680,0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Align w:val="center"/>
          </w:tcPr>
          <w:p w:rsidR="00B077C7" w:rsidRDefault="00B077C7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83,1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130,0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103,0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103,0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217,0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233,0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359,0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359,0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359,0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104,0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104,0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104,0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561,0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183,0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194,0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203,0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203,0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lastRenderedPageBreak/>
              <w:t>928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58,0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89,0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124,0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129,5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140,0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140,0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155,3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120,9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967,0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962,2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982,0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982,0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982,0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  <w:jc w:val="both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177,0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4 000,8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4 056,0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4 318,4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5 297,7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4 262,0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280,0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305,0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305,0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315,0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315,0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62,0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116,0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</w:tcPr>
          <w:p w:rsidR="00B077C7" w:rsidRDefault="00B077C7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1130126020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37,4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</w:tr>
      <w:tr w:rsidR="00B077C7">
        <w:tc>
          <w:tcPr>
            <w:tcW w:w="1789" w:type="dxa"/>
            <w:vMerge w:val="restart"/>
          </w:tcPr>
          <w:p w:rsidR="00B077C7" w:rsidRDefault="00B077C7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77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Обеспечение деятельности (оказание услуг) подведомственных учреждений (организаций), в том числе предоставление муниципальным бюджетным учреждениям субсидий</w:t>
            </w:r>
          </w:p>
        </w:tc>
        <w:tc>
          <w:tcPr>
            <w:tcW w:w="2749" w:type="dxa"/>
            <w:vMerge w:val="restart"/>
          </w:tcPr>
          <w:p w:rsidR="00B077C7" w:rsidRDefault="00B077C7">
            <w:pPr>
              <w:pStyle w:val="ConsPlusNormal"/>
              <w:jc w:val="both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1130200000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17 000,0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189 092,0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170987,0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106079,0</w:t>
            </w:r>
          </w:p>
        </w:tc>
      </w:tr>
      <w:tr w:rsidR="00B077C7">
        <w:tc>
          <w:tcPr>
            <w:tcW w:w="178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7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2749" w:type="dxa"/>
            <w:vMerge/>
          </w:tcPr>
          <w:p w:rsidR="00B077C7" w:rsidRDefault="00B077C7">
            <w:pPr>
              <w:pStyle w:val="ConsPlusNormal"/>
            </w:pPr>
          </w:p>
        </w:tc>
        <w:tc>
          <w:tcPr>
            <w:tcW w:w="694" w:type="dxa"/>
          </w:tcPr>
          <w:p w:rsidR="00B077C7" w:rsidRDefault="00B077C7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99" w:type="dxa"/>
          </w:tcPr>
          <w:p w:rsidR="00B077C7" w:rsidRDefault="00B077C7">
            <w:pPr>
              <w:pStyle w:val="ConsPlusNormal"/>
              <w:jc w:val="center"/>
            </w:pPr>
            <w:r>
              <w:t>1130220590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B077C7" w:rsidRDefault="00B077C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17 000,0</w:t>
            </w:r>
          </w:p>
        </w:tc>
        <w:tc>
          <w:tcPr>
            <w:tcW w:w="1084" w:type="dxa"/>
          </w:tcPr>
          <w:p w:rsidR="00B077C7" w:rsidRDefault="00B077C7">
            <w:pPr>
              <w:pStyle w:val="ConsPlusNormal"/>
              <w:jc w:val="center"/>
            </w:pPr>
            <w:r>
              <w:t>189 092,0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170987,0</w:t>
            </w:r>
          </w:p>
        </w:tc>
        <w:tc>
          <w:tcPr>
            <w:tcW w:w="1024" w:type="dxa"/>
          </w:tcPr>
          <w:p w:rsidR="00B077C7" w:rsidRDefault="00B077C7">
            <w:pPr>
              <w:pStyle w:val="ConsPlusNormal"/>
              <w:jc w:val="center"/>
            </w:pPr>
            <w:r>
              <w:t>106079,0</w:t>
            </w:r>
          </w:p>
        </w:tc>
      </w:tr>
    </w:tbl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jc w:val="both"/>
      </w:pPr>
    </w:p>
    <w:p w:rsidR="00B077C7" w:rsidRDefault="00B077C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A2A12" w:rsidRDefault="007110BF"/>
    <w:sectPr w:rsidR="00EA2A12">
      <w:pgSz w:w="16838" w:h="11905" w:orient="landscape"/>
      <w:pgMar w:top="1701" w:right="397" w:bottom="850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C7"/>
    <w:rsid w:val="004F6AF4"/>
    <w:rsid w:val="00617E64"/>
    <w:rsid w:val="006D39C5"/>
    <w:rsid w:val="007110BF"/>
    <w:rsid w:val="00A039CF"/>
    <w:rsid w:val="00B077C7"/>
    <w:rsid w:val="00C7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7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077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077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077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077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077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077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077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7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077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077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077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077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077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077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077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79642" TargetMode="External"/><Relationship Id="rId13" Type="http://schemas.openxmlformats.org/officeDocument/2006/relationships/hyperlink" Target="https://login.consultant.ru/link/?req=doc&amp;base=RLAW404&amp;n=100476&amp;dst=144721" TargetMode="External"/><Relationship Id="rId18" Type="http://schemas.openxmlformats.org/officeDocument/2006/relationships/hyperlink" Target="https://login.consultant.ru/link/?req=doc&amp;base=RLAW404&amp;n=100476&amp;dst=147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97306" TargetMode="External"/><Relationship Id="rId12" Type="http://schemas.openxmlformats.org/officeDocument/2006/relationships/hyperlink" Target="https://login.consultant.ru/link/?req=doc&amp;base=RLAW404&amp;n=100476&amp;dst=144550" TargetMode="External"/><Relationship Id="rId17" Type="http://schemas.openxmlformats.org/officeDocument/2006/relationships/hyperlink" Target="https://login.consultant.ru/link/?req=doc&amp;base=RLAW404&amp;n=100476&amp;dst=14601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100476&amp;dst=14492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4" TargetMode="External"/><Relationship Id="rId11" Type="http://schemas.openxmlformats.org/officeDocument/2006/relationships/hyperlink" Target="https://login.consultant.ru/link/?req=doc&amp;base=RLAW404&amp;n=100476&amp;dst=144416" TargetMode="External"/><Relationship Id="rId5" Type="http://schemas.openxmlformats.org/officeDocument/2006/relationships/hyperlink" Target="https://login.consultant.ru/link/?req=doc&amp;base=LAW&amp;n=469774" TargetMode="External"/><Relationship Id="rId15" Type="http://schemas.openxmlformats.org/officeDocument/2006/relationships/hyperlink" Target="https://login.consultant.ru/link/?req=doc&amp;base=RLAW404&amp;n=100476&amp;dst=144822" TargetMode="External"/><Relationship Id="rId10" Type="http://schemas.openxmlformats.org/officeDocument/2006/relationships/hyperlink" Target="https://login.consultant.ru/link/?req=doc&amp;base=RLAW404&amp;n=100476&amp;dst=14441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100476" TargetMode="External"/><Relationship Id="rId14" Type="http://schemas.openxmlformats.org/officeDocument/2006/relationships/hyperlink" Target="https://login.consultant.ru/link/?req=doc&amp;base=RLAW404&amp;n=100476&amp;dst=1447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5611</Words>
  <Characters>31983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Моргачева</dc:creator>
  <cp:keywords/>
  <dc:description/>
  <cp:lastModifiedBy>Ирина Киверник</cp:lastModifiedBy>
  <cp:revision>5</cp:revision>
  <dcterms:created xsi:type="dcterms:W3CDTF">2024-11-12T13:39:00Z</dcterms:created>
  <dcterms:modified xsi:type="dcterms:W3CDTF">2024-11-12T14:18:00Z</dcterms:modified>
</cp:coreProperties>
</file>