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11" w:rsidRDefault="00D41111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41111" w:rsidRDefault="00D41111">
      <w:pPr>
        <w:pStyle w:val="ConsPlusNormal"/>
        <w:jc w:val="both"/>
        <w:outlineLvl w:val="0"/>
      </w:pPr>
    </w:p>
    <w:p w:rsidR="00D41111" w:rsidRDefault="00D41111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D41111" w:rsidRDefault="00D41111">
      <w:pPr>
        <w:pStyle w:val="ConsPlusTitle"/>
        <w:jc w:val="center"/>
      </w:pPr>
      <w:r>
        <w:t>БЕЛГОРОДСКОЙ ОБЛАСТИ</w:t>
      </w:r>
    </w:p>
    <w:p w:rsidR="00D41111" w:rsidRDefault="00D41111">
      <w:pPr>
        <w:pStyle w:val="ConsPlusTitle"/>
        <w:jc w:val="center"/>
      </w:pPr>
    </w:p>
    <w:p w:rsidR="00D41111" w:rsidRDefault="00D41111">
      <w:pPr>
        <w:pStyle w:val="ConsPlusTitle"/>
        <w:jc w:val="center"/>
      </w:pPr>
      <w:r>
        <w:t>ПОСТАНОВЛЕНИЕ</w:t>
      </w:r>
    </w:p>
    <w:p w:rsidR="00D41111" w:rsidRDefault="00D41111">
      <w:pPr>
        <w:pStyle w:val="ConsPlusTitle"/>
        <w:jc w:val="center"/>
      </w:pPr>
      <w:r>
        <w:t>от 10 октября 2013 г. N 2457-па</w:t>
      </w:r>
    </w:p>
    <w:p w:rsidR="00D41111" w:rsidRDefault="00D41111">
      <w:pPr>
        <w:pStyle w:val="ConsPlusTitle"/>
        <w:jc w:val="center"/>
      </w:pPr>
    </w:p>
    <w:p w:rsidR="00D41111" w:rsidRDefault="00D41111">
      <w:pPr>
        <w:pStyle w:val="ConsPlusTitle"/>
        <w:jc w:val="center"/>
      </w:pPr>
      <w:r>
        <w:t>ОБ УТВЕРЖДЕНИИ МУНИЦИПАЛЬНОЙ ПРОГРАММЫ "ОБЕСПЕЧЕНИЕ</w:t>
      </w:r>
    </w:p>
    <w:p w:rsidR="00D41111" w:rsidRDefault="00D41111">
      <w:pPr>
        <w:pStyle w:val="ConsPlusTitle"/>
        <w:jc w:val="center"/>
      </w:pPr>
      <w:r>
        <w:t>НАСЕЛЕНИЯ ГУБКИНСКОГО ГОРОДСКОГО ОКРУГА БЕЛГОРОДСКОЙ ОБЛАСТИ</w:t>
      </w:r>
    </w:p>
    <w:p w:rsidR="00D41111" w:rsidRDefault="00D41111">
      <w:pPr>
        <w:pStyle w:val="ConsPlusTitle"/>
        <w:jc w:val="center"/>
      </w:pPr>
      <w:r>
        <w:t>ИНФОРМАЦИЕЙ О ДЕЯТЕЛЬНОСТИ ОРГАНОВ МЕСТНОГО САМОУПРАВЛЕНИЯ</w:t>
      </w:r>
    </w:p>
    <w:p w:rsidR="00D41111" w:rsidRDefault="00D41111">
      <w:pPr>
        <w:pStyle w:val="ConsPlusTitle"/>
        <w:jc w:val="center"/>
      </w:pPr>
      <w:r>
        <w:t>В ПЕЧАТНЫХ И ЭЛЕКТРОННЫХ СРЕДСТВАХ МАССОВОЙ ИНФОРМАЦИИ"</w:t>
      </w:r>
    </w:p>
    <w:p w:rsidR="00D41111" w:rsidRDefault="00D411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411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909-па</w:t>
              </w:r>
            </w:hyperlink>
            <w:r>
              <w:rPr>
                <w:color w:val="392C69"/>
              </w:rPr>
              <w:t xml:space="preserve">, от 06.08.2014 </w:t>
            </w:r>
            <w:hyperlink r:id="rId6">
              <w:r>
                <w:rPr>
                  <w:color w:val="0000FF"/>
                </w:rPr>
                <w:t>N 1728-па</w:t>
              </w:r>
            </w:hyperlink>
            <w:r>
              <w:rPr>
                <w:color w:val="392C69"/>
              </w:rPr>
              <w:t>,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10.10.2014 </w:t>
            </w:r>
            <w:hyperlink r:id="rId7">
              <w:r>
                <w:rPr>
                  <w:color w:val="0000FF"/>
                </w:rPr>
                <w:t>N 2275-па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8">
              <w:r>
                <w:rPr>
                  <w:color w:val="0000FF"/>
                </w:rPr>
                <w:t>N 659-па</w:t>
              </w:r>
            </w:hyperlink>
            <w:r>
              <w:rPr>
                <w:color w:val="392C69"/>
              </w:rPr>
              <w:t xml:space="preserve">, от 11.03.2016 </w:t>
            </w:r>
            <w:hyperlink r:id="rId9">
              <w:r>
                <w:rPr>
                  <w:color w:val="0000FF"/>
                </w:rPr>
                <w:t>N 414-па</w:t>
              </w:r>
            </w:hyperlink>
            <w:r>
              <w:rPr>
                <w:color w:val="392C69"/>
              </w:rPr>
              <w:t>,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0">
              <w:r>
                <w:rPr>
                  <w:color w:val="0000FF"/>
                </w:rPr>
                <w:t>N 2880-па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1">
              <w:r>
                <w:rPr>
                  <w:color w:val="0000FF"/>
                </w:rPr>
                <w:t>N 2038-па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2">
              <w:r>
                <w:rPr>
                  <w:color w:val="0000FF"/>
                </w:rPr>
                <w:t>N 2179-па</w:t>
              </w:r>
            </w:hyperlink>
            <w:r>
              <w:rPr>
                <w:color w:val="392C69"/>
              </w:rPr>
              <w:t>,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3">
              <w:r>
                <w:rPr>
                  <w:color w:val="0000FF"/>
                </w:rPr>
                <w:t>N 2249-па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4">
              <w:r>
                <w:rPr>
                  <w:color w:val="0000FF"/>
                </w:rPr>
                <w:t>N 1947-па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5">
              <w:r>
                <w:rPr>
                  <w:color w:val="0000FF"/>
                </w:rPr>
                <w:t>N 2229-па</w:t>
              </w:r>
            </w:hyperlink>
            <w:r>
              <w:rPr>
                <w:color w:val="392C69"/>
              </w:rPr>
              <w:t>,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16">
              <w:r>
                <w:rPr>
                  <w:color w:val="0000FF"/>
                </w:rPr>
                <w:t>N 2597-па</w:t>
              </w:r>
            </w:hyperlink>
            <w:r>
              <w:rPr>
                <w:color w:val="392C69"/>
              </w:rPr>
              <w:t xml:space="preserve">, от 16.03.2023 </w:t>
            </w:r>
            <w:hyperlink r:id="rId17">
              <w:r>
                <w:rPr>
                  <w:color w:val="0000FF"/>
                </w:rPr>
                <w:t>N 370-па</w:t>
              </w:r>
            </w:hyperlink>
            <w:r>
              <w:rPr>
                <w:color w:val="392C69"/>
              </w:rPr>
              <w:t xml:space="preserve">, от 14.08.2023 </w:t>
            </w:r>
            <w:hyperlink r:id="rId18">
              <w:r>
                <w:rPr>
                  <w:color w:val="0000FF"/>
                </w:rPr>
                <w:t>N 1122-па</w:t>
              </w:r>
            </w:hyperlink>
            <w:r>
              <w:rPr>
                <w:color w:val="392C69"/>
              </w:rPr>
              <w:t>,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29.09.2023 </w:t>
            </w:r>
            <w:hyperlink r:id="rId19">
              <w:r>
                <w:rPr>
                  <w:color w:val="0000FF"/>
                </w:rPr>
                <w:t>N 1345-па</w:t>
              </w:r>
            </w:hyperlink>
            <w:r>
              <w:rPr>
                <w:color w:val="392C69"/>
              </w:rPr>
              <w:t xml:space="preserve">, от 22.12.2023 </w:t>
            </w:r>
            <w:hyperlink r:id="rId20">
              <w:r>
                <w:rPr>
                  <w:color w:val="0000FF"/>
                </w:rPr>
                <w:t>N 1823-па</w:t>
              </w:r>
            </w:hyperlink>
            <w:r w:rsidR="00027604">
              <w:rPr>
                <w:color w:val="0000FF"/>
              </w:rPr>
              <w:t xml:space="preserve">, </w:t>
            </w:r>
            <w:r w:rsidR="00027604" w:rsidRPr="00027604">
              <w:rPr>
                <w:color w:val="000000" w:themeColor="text1"/>
              </w:rPr>
              <w:t xml:space="preserve">от 19.03.2024 </w:t>
            </w:r>
            <w:r w:rsidR="00027604" w:rsidRPr="00027604">
              <w:rPr>
                <w:color w:val="0000FF"/>
                <w:lang w:val="en-US"/>
              </w:rPr>
              <w:t>N</w:t>
            </w:r>
            <w:r w:rsidR="00027604">
              <w:rPr>
                <w:color w:val="0000FF"/>
              </w:rPr>
              <w:t xml:space="preserve"> 325-па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24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области", в целях повышения качества предоставления информационных услуг и обеспечения населения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наиболее полной, объективной информацией о деятельности органов местного самоуправления постановляю:</w:t>
      </w:r>
    </w:p>
    <w:p w:rsidR="00D41111" w:rsidRDefault="00D41111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1947-па)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45">
        <w:r>
          <w:rPr>
            <w:color w:val="0000FF"/>
          </w:rPr>
          <w:t>программу</w:t>
        </w:r>
      </w:hyperlink>
      <w:r>
        <w:t xml:space="preserve"> "Обеспечение населения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 (далее - Программа, прилагается).</w:t>
      </w:r>
    </w:p>
    <w:p w:rsidR="00D41111" w:rsidRDefault="00D41111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10.10.2014 </w:t>
      </w:r>
      <w:hyperlink r:id="rId26">
        <w:r>
          <w:rPr>
            <w:color w:val="0000FF"/>
          </w:rPr>
          <w:t>N 2275-па</w:t>
        </w:r>
      </w:hyperlink>
      <w:r>
        <w:t xml:space="preserve">, от 27.12.2018 </w:t>
      </w:r>
      <w:hyperlink r:id="rId27">
        <w:r>
          <w:rPr>
            <w:color w:val="0000FF"/>
          </w:rPr>
          <w:t>N 2179-па</w:t>
        </w:r>
      </w:hyperlink>
      <w:r>
        <w:t xml:space="preserve">, от 26.12.2020 </w:t>
      </w:r>
      <w:hyperlink r:id="rId28">
        <w:r>
          <w:rPr>
            <w:color w:val="0000FF"/>
          </w:rPr>
          <w:t>N 1947-па</w:t>
        </w:r>
      </w:hyperlink>
      <w:r>
        <w:t>)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</w:pPr>
      <w:r>
        <w:lastRenderedPageBreak/>
        <w:t>Глава администрации</w:t>
      </w:r>
    </w:p>
    <w:p w:rsidR="00D41111" w:rsidRDefault="00D41111">
      <w:pPr>
        <w:pStyle w:val="ConsPlusNormal"/>
        <w:jc w:val="right"/>
      </w:pPr>
      <w:r>
        <w:t>А.КРЕТОВ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0"/>
      </w:pPr>
      <w:r>
        <w:t>Утверждена</w:t>
      </w:r>
    </w:p>
    <w:p w:rsidR="00D41111" w:rsidRDefault="00D41111">
      <w:pPr>
        <w:pStyle w:val="ConsPlusNormal"/>
        <w:jc w:val="right"/>
      </w:pPr>
      <w:r>
        <w:t>постановлением</w:t>
      </w:r>
    </w:p>
    <w:p w:rsidR="00D41111" w:rsidRDefault="00D41111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D41111" w:rsidRDefault="00D41111">
      <w:pPr>
        <w:pStyle w:val="ConsPlusNormal"/>
        <w:jc w:val="right"/>
      </w:pPr>
      <w:r>
        <w:t>городского округа</w:t>
      </w:r>
    </w:p>
    <w:p w:rsidR="00D41111" w:rsidRDefault="00D41111">
      <w:pPr>
        <w:pStyle w:val="ConsPlusNormal"/>
        <w:jc w:val="right"/>
      </w:pPr>
      <w:r>
        <w:t>от 10 октября 2013 г. N 2457-па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0" w:name="P45"/>
      <w:bookmarkEnd w:id="0"/>
      <w:r>
        <w:t>МУНИЦИПАЛЬНАЯ ПРОГРАММА</w:t>
      </w:r>
    </w:p>
    <w:p w:rsidR="00D41111" w:rsidRDefault="00D41111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D41111" w:rsidRDefault="00D41111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D41111" w:rsidRDefault="00D41111">
      <w:pPr>
        <w:pStyle w:val="ConsPlusTitle"/>
        <w:jc w:val="center"/>
      </w:pPr>
      <w:r>
        <w:t>МЕСТНОГО САМОУПРАВЛЕНИЯ В ПЕЧАТНЫХ И ЭЛЕКТРОННЫХ</w:t>
      </w:r>
    </w:p>
    <w:p w:rsidR="00D41111" w:rsidRDefault="00D41111">
      <w:pPr>
        <w:pStyle w:val="ConsPlusTitle"/>
        <w:jc w:val="center"/>
      </w:pPr>
      <w:r>
        <w:t>СРЕДСТВАХ МАССОВОЙ ИНФОРМАЦИИ"</w:t>
      </w:r>
    </w:p>
    <w:p w:rsidR="00D41111" w:rsidRDefault="00D411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411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D41111" w:rsidRDefault="00D41111" w:rsidP="00027604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22.12.2023 </w:t>
            </w:r>
            <w:hyperlink r:id="rId29">
              <w:r>
                <w:rPr>
                  <w:color w:val="0000FF"/>
                </w:rPr>
                <w:t>N 1823-па</w:t>
              </w:r>
            </w:hyperlink>
            <w:r w:rsidR="00027604">
              <w:rPr>
                <w:color w:val="0000FF"/>
              </w:rPr>
              <w:t xml:space="preserve">, </w:t>
            </w:r>
            <w:r w:rsidR="00027604" w:rsidRPr="00027604">
              <w:rPr>
                <w:color w:val="000000" w:themeColor="text1"/>
              </w:rPr>
              <w:t xml:space="preserve">от 19.03.2024 </w:t>
            </w:r>
            <w:r w:rsidR="00027604" w:rsidRPr="00027604">
              <w:rPr>
                <w:color w:val="0000FF"/>
                <w:lang w:val="en-US"/>
              </w:rPr>
              <w:t>N</w:t>
            </w:r>
            <w:r w:rsidR="00027604">
              <w:rPr>
                <w:color w:val="0000FF"/>
              </w:rPr>
              <w:t xml:space="preserve"> 325-па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Паспорт</w:t>
      </w:r>
    </w:p>
    <w:p w:rsidR="00D41111" w:rsidRDefault="00D41111">
      <w:pPr>
        <w:pStyle w:val="ConsPlusTitle"/>
        <w:jc w:val="center"/>
      </w:pPr>
      <w:r>
        <w:t xml:space="preserve">муниципальной программы "Обеспечение населения </w:t>
      </w:r>
      <w:proofErr w:type="spellStart"/>
      <w:r>
        <w:t>Губкинского</w:t>
      </w:r>
      <w:proofErr w:type="spellEnd"/>
    </w:p>
    <w:p w:rsidR="00D41111" w:rsidRDefault="00D41111">
      <w:pPr>
        <w:pStyle w:val="ConsPlusTitle"/>
        <w:jc w:val="center"/>
      </w:pPr>
      <w:r>
        <w:t>городского округа Белгородской области информацией</w:t>
      </w:r>
    </w:p>
    <w:p w:rsidR="00D41111" w:rsidRDefault="00D41111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D41111" w:rsidRDefault="00D41111">
      <w:pPr>
        <w:pStyle w:val="ConsPlusTitle"/>
        <w:jc w:val="center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 (далее - Программа)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1. </w:t>
            </w:r>
            <w:hyperlink w:anchor="P27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муниципальных печатных и электронных СМИ".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2. </w:t>
            </w:r>
            <w:hyperlink w:anchor="P384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3. </w:t>
            </w:r>
            <w:hyperlink w:anchor="P505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"Кадровая политика в сфере развития </w:t>
            </w:r>
            <w:r>
              <w:lastRenderedPageBreak/>
              <w:t xml:space="preserve">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Цель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Задачи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1. Повышение качества предоставления информационных услуг периодическими печатными и электронными СМИ.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2. Расширение объема и спектра предоставляемой населению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а также содействие формированию благоприятного имиджа территории.</w:t>
            </w:r>
          </w:p>
          <w:p w:rsidR="00D41111" w:rsidRDefault="00D41111">
            <w:pPr>
              <w:pStyle w:val="ConsPlusNormal"/>
              <w:jc w:val="both"/>
            </w:pPr>
            <w:r>
              <w:t>3.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2014 - 2026 годы</w:t>
            </w:r>
          </w:p>
          <w:p w:rsidR="00D41111" w:rsidRDefault="00D41111">
            <w:pPr>
              <w:pStyle w:val="ConsPlusNormal"/>
              <w:jc w:val="both"/>
            </w:pPr>
            <w:r>
              <w:t>I этап: 2014 - 2020 годы</w:t>
            </w:r>
          </w:p>
          <w:p w:rsidR="00D41111" w:rsidRDefault="00D41111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D41111" w:rsidRDefault="00D41111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2211" w:type="dxa"/>
            <w:tcBorders>
              <w:bottom w:val="nil"/>
            </w:tcBorders>
          </w:tcPr>
          <w:p w:rsidR="00D41111" w:rsidRDefault="00D41111">
            <w:pPr>
              <w:pStyle w:val="ConsPlusNormal"/>
            </w:pPr>
            <w:r>
              <w:t xml:space="preserve">Объем бюджетных ассигнований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  <w:tcBorders>
              <w:bottom w:val="nil"/>
            </w:tcBorders>
          </w:tcPr>
          <w:p w:rsidR="00601392" w:rsidRPr="00601392" w:rsidRDefault="00601392" w:rsidP="00601392">
            <w:pPr>
              <w:pStyle w:val="TableParagraph"/>
              <w:spacing w:line="230" w:lineRule="auto"/>
              <w:ind w:right="111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5"/>
              </w:rPr>
              <w:t>Общий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объем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финансирования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мероприятий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Программы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на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I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этапе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составляет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всего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164642,4</w:t>
            </w:r>
            <w:r w:rsidRPr="00601392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тыс.</w:t>
            </w:r>
            <w:r w:rsidRPr="00601392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рублей.</w:t>
            </w:r>
          </w:p>
          <w:p w:rsidR="00601392" w:rsidRPr="00601392" w:rsidRDefault="00601392" w:rsidP="00601392">
            <w:pPr>
              <w:pStyle w:val="TableParagraph"/>
              <w:spacing w:before="8" w:line="230" w:lineRule="auto"/>
              <w:ind w:right="98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Финансирование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за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счет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средств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бюджета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01392">
              <w:rPr>
                <w:rFonts w:asciiTheme="minorHAnsi" w:hAnsiTheme="minorHAnsi" w:cstheme="minorHAnsi"/>
                <w:w w:val="95"/>
              </w:rPr>
              <w:t>Губкинского</w:t>
            </w:r>
            <w:proofErr w:type="spellEnd"/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городского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округа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Белгородской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области составляет 107748,6 тыс. рублей, в том</w:t>
            </w:r>
            <w:r w:rsidRPr="00601392">
              <w:rPr>
                <w:rFonts w:asciiTheme="minorHAnsi" w:hAnsiTheme="minorHAnsi" w:cstheme="minorHAnsi"/>
                <w:spacing w:val="-70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числе</w:t>
            </w:r>
            <w:r w:rsidRPr="00601392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годам:</w:t>
            </w:r>
          </w:p>
          <w:p w:rsidR="00601392" w:rsidRPr="00601392" w:rsidRDefault="00601392" w:rsidP="00601392">
            <w:pPr>
              <w:pStyle w:val="TableParagraph"/>
              <w:spacing w:line="323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2014</w:t>
            </w:r>
            <w:r w:rsidRPr="00601392">
              <w:rPr>
                <w:rFonts w:asciiTheme="minorHAnsi" w:hAnsiTheme="minorHAnsi" w:cstheme="minorHAnsi"/>
                <w:spacing w:val="2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1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10806,4</w:t>
            </w:r>
            <w:r w:rsidRPr="00601392">
              <w:rPr>
                <w:rFonts w:asciiTheme="minorHAnsi" w:hAnsiTheme="minorHAnsi" w:cstheme="minorHAnsi"/>
                <w:spacing w:val="3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2015</w:t>
            </w:r>
            <w:r w:rsidRPr="00601392">
              <w:rPr>
                <w:rFonts w:asciiTheme="minorHAnsi" w:hAnsiTheme="minorHAnsi" w:cstheme="minorHAnsi"/>
                <w:spacing w:val="2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10443</w:t>
            </w:r>
            <w:r w:rsidRPr="00601392">
              <w:rPr>
                <w:rFonts w:asciiTheme="minorHAnsi" w:hAnsiTheme="minorHAnsi" w:cstheme="minorHAnsi"/>
                <w:spacing w:val="2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2016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15650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2017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16061,2</w:t>
            </w:r>
            <w:r w:rsidRPr="00601392">
              <w:rPr>
                <w:rFonts w:asciiTheme="minorHAnsi" w:hAnsiTheme="minorHAnsi" w:cstheme="minorHAnsi"/>
                <w:spacing w:val="3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2018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17396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1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2019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16768</w:t>
            </w:r>
            <w:r w:rsidRPr="00601392">
              <w:rPr>
                <w:rFonts w:asciiTheme="minorHAnsi" w:hAnsiTheme="minorHAnsi" w:cstheme="minorHAnsi"/>
                <w:spacing w:val="2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5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2020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20624</w:t>
            </w:r>
            <w:r w:rsidRPr="00601392">
              <w:rPr>
                <w:rFonts w:asciiTheme="minorHAnsi" w:hAnsiTheme="minorHAnsi" w:cstheme="minorHAnsi"/>
                <w:spacing w:val="2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</w:rPr>
              <w:t>рублей</w:t>
            </w:r>
            <w:r w:rsidRPr="00601392">
              <w:rPr>
                <w:rFonts w:asciiTheme="minorHAnsi" w:hAnsiTheme="minorHAnsi" w:cstheme="minorHAnsi"/>
                <w:w w:val="90"/>
              </w:rPr>
              <w:t>.</w:t>
            </w:r>
          </w:p>
          <w:p w:rsidR="00601392" w:rsidRPr="00601392" w:rsidRDefault="00601392" w:rsidP="00601392">
            <w:pPr>
              <w:pStyle w:val="TableParagraph"/>
              <w:spacing w:line="228" w:lineRule="auto"/>
              <w:ind w:right="98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Финансирование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за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счет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внебюджетных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средств составляет 56893,8 тыс. рублей, в том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числе</w:t>
            </w:r>
            <w:r w:rsidRPr="00601392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</w:t>
            </w:r>
            <w:r w:rsidRPr="00601392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годам:</w:t>
            </w:r>
          </w:p>
          <w:p w:rsidR="00601392" w:rsidRPr="00601392" w:rsidRDefault="00601392" w:rsidP="00601392">
            <w:pPr>
              <w:pStyle w:val="TableParagraph"/>
              <w:spacing w:line="321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2014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14069,5</w:t>
            </w:r>
            <w:r w:rsidRPr="00601392">
              <w:rPr>
                <w:rFonts w:asciiTheme="minorHAnsi" w:hAnsiTheme="minorHAnsi" w:cstheme="minorHAnsi"/>
                <w:spacing w:val="3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2015</w:t>
            </w:r>
            <w:r w:rsidRPr="00601392">
              <w:rPr>
                <w:rFonts w:asciiTheme="minorHAnsi" w:hAnsiTheme="minorHAnsi" w:cstheme="minorHAnsi"/>
                <w:spacing w:val="3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13678,3</w:t>
            </w:r>
            <w:r w:rsidRPr="00601392">
              <w:rPr>
                <w:rFonts w:asciiTheme="minorHAnsi" w:hAnsiTheme="minorHAnsi" w:cstheme="minorHAnsi"/>
                <w:spacing w:val="3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2016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7179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2017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6500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1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2018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6037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2019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5930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Default="00601392" w:rsidP="00601392">
            <w:pPr>
              <w:pStyle w:val="ConsPlusNormal"/>
              <w:rPr>
                <w:rFonts w:asciiTheme="minorHAnsi" w:hAnsiTheme="minorHAnsi" w:cstheme="minorHAnsi"/>
                <w:w w:val="90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2020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-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3500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рублей.</w:t>
            </w:r>
          </w:p>
          <w:p w:rsidR="00601392" w:rsidRPr="00601392" w:rsidRDefault="00601392" w:rsidP="00601392">
            <w:pPr>
              <w:pStyle w:val="ConsPlusNormal"/>
              <w:rPr>
                <w:rFonts w:asciiTheme="minorHAnsi" w:hAnsiTheme="minorHAnsi" w:cstheme="minorHAnsi"/>
                <w:w w:val="90"/>
              </w:rPr>
            </w:pPr>
            <w:r w:rsidRPr="00601392">
              <w:rPr>
                <w:rFonts w:asciiTheme="minorHAnsi" w:hAnsiTheme="minorHAnsi" w:cstheme="minorHAnsi"/>
                <w:w w:val="95"/>
              </w:rPr>
              <w:t>Общий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объем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финансирования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мероприятий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Программы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на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II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этапе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всего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составляет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176481,5</w:t>
            </w:r>
            <w:r w:rsidRPr="00601392">
              <w:rPr>
                <w:rFonts w:asciiTheme="minorHAnsi" w:hAnsiTheme="minorHAnsi" w:cstheme="minorHAnsi"/>
                <w:spacing w:val="17"/>
              </w:rPr>
              <w:t xml:space="preserve"> </w:t>
            </w:r>
            <w:proofErr w:type="spellStart"/>
            <w:r w:rsidRPr="00601392">
              <w:rPr>
                <w:rFonts w:asciiTheme="minorHAnsi" w:hAnsiTheme="minorHAnsi" w:cstheme="minorHAnsi"/>
              </w:rPr>
              <w:t>тыс</w:t>
            </w:r>
            <w:proofErr w:type="spellEnd"/>
            <w:r w:rsidRPr="00601392">
              <w:rPr>
                <w:rFonts w:asciiTheme="minorHAnsi" w:hAnsiTheme="minorHAnsi" w:cstheme="minorHAnsi"/>
              </w:rPr>
              <w:t>,</w:t>
            </w:r>
            <w:r w:rsidRPr="00601392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рублей.</w:t>
            </w:r>
          </w:p>
          <w:p w:rsidR="00601392" w:rsidRPr="00601392" w:rsidRDefault="00601392" w:rsidP="00601392">
            <w:pPr>
              <w:pStyle w:val="TableParagraph"/>
              <w:spacing w:before="14" w:line="228" w:lineRule="auto"/>
              <w:ind w:right="106"/>
              <w:jc w:val="both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spacing w:val="-1"/>
              </w:rPr>
              <w:t xml:space="preserve">Финансирование </w:t>
            </w:r>
            <w:r w:rsidRPr="00601392">
              <w:rPr>
                <w:rFonts w:asciiTheme="minorHAnsi" w:hAnsiTheme="minorHAnsi" w:cstheme="minorHAnsi"/>
              </w:rPr>
              <w:t>за счет средств областного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бюджета составляет 89 тыс. рублей, в том числе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i/>
              </w:rPr>
              <w:t>по</w:t>
            </w:r>
            <w:r w:rsidRPr="00601392">
              <w:rPr>
                <w:rFonts w:asciiTheme="minorHAnsi" w:hAnsiTheme="minorHAnsi" w:cstheme="minorHAnsi"/>
                <w:i/>
                <w:spacing w:val="-8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годам: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2021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89</w:t>
            </w:r>
            <w:r w:rsidRPr="00601392">
              <w:rPr>
                <w:rFonts w:asciiTheme="minorHAnsi" w:hAnsiTheme="minorHAnsi" w:cstheme="minorHAnsi"/>
                <w:spacing w:val="1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2022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0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2023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0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6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2024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-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0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2025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0</w:t>
            </w:r>
            <w:r w:rsidRPr="00601392">
              <w:rPr>
                <w:rFonts w:asciiTheme="minorHAnsi" w:hAnsiTheme="minorHAnsi" w:cstheme="minorHAnsi"/>
                <w:spacing w:val="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ConsPlusNormal"/>
              <w:rPr>
                <w:rFonts w:asciiTheme="minorHAnsi" w:hAnsiTheme="minorHAnsi" w:cstheme="minorHAnsi"/>
                <w:w w:val="90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2026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-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0</w:t>
            </w:r>
            <w:r w:rsidRPr="00601392">
              <w:rPr>
                <w:rFonts w:asciiTheme="minorHAnsi" w:hAnsiTheme="minorHAnsi" w:cstheme="minorHAnsi"/>
                <w:spacing w:val="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рублей.</w:t>
            </w:r>
          </w:p>
          <w:p w:rsidR="00601392" w:rsidRPr="00601392" w:rsidRDefault="00601392" w:rsidP="00601392">
            <w:pPr>
              <w:pStyle w:val="TableParagraph"/>
              <w:spacing w:line="232" w:lineRule="auto"/>
              <w:ind w:right="136"/>
              <w:jc w:val="both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Финансирование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за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счет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средств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бюджета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01392">
              <w:rPr>
                <w:rFonts w:asciiTheme="minorHAnsi" w:hAnsiTheme="minorHAnsi" w:cstheme="minorHAnsi"/>
                <w:w w:val="95"/>
              </w:rPr>
              <w:t>Губкинского</w:t>
            </w:r>
            <w:proofErr w:type="spellEnd"/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городского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округа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Белгородской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области составляет 154215 тыс. рублей, в том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числе</w:t>
            </w:r>
            <w:r w:rsidRPr="00601392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</w:t>
            </w:r>
            <w:r w:rsidRPr="0060139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годам:</w:t>
            </w:r>
          </w:p>
          <w:p w:rsidR="00601392" w:rsidRPr="00601392" w:rsidRDefault="00601392" w:rsidP="00601392">
            <w:pPr>
              <w:pStyle w:val="TableParagraph"/>
              <w:spacing w:line="31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2021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23043</w:t>
            </w:r>
            <w:r w:rsidRPr="00601392">
              <w:rPr>
                <w:rFonts w:asciiTheme="minorHAnsi" w:hAnsiTheme="minorHAnsi" w:cstheme="minorHAnsi"/>
                <w:spacing w:val="3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6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2022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24364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6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2023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26001</w:t>
            </w:r>
            <w:r w:rsidRPr="00601392">
              <w:rPr>
                <w:rFonts w:asciiTheme="minorHAnsi" w:hAnsiTheme="minorHAnsi" w:cstheme="minorHAnsi"/>
                <w:spacing w:val="3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2024</w:t>
            </w:r>
            <w:r w:rsidRPr="00601392">
              <w:rPr>
                <w:rFonts w:asciiTheme="minorHAnsi" w:hAnsiTheme="minorHAnsi" w:cstheme="minorHAnsi"/>
                <w:spacing w:val="2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27470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2025</w:t>
            </w:r>
            <w:r w:rsidRPr="00601392">
              <w:rPr>
                <w:rFonts w:asciiTheme="minorHAnsi" w:hAnsiTheme="minorHAnsi" w:cstheme="minorHAnsi"/>
                <w:spacing w:val="2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28018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Default="00601392" w:rsidP="00601392">
            <w:pPr>
              <w:pStyle w:val="TableParagraph"/>
              <w:tabs>
                <w:tab w:val="left" w:pos="2725"/>
                <w:tab w:val="left" w:pos="3308"/>
                <w:tab w:val="left" w:pos="4161"/>
              </w:tabs>
              <w:spacing w:line="228" w:lineRule="auto"/>
              <w:ind w:right="162"/>
              <w:jc w:val="left"/>
              <w:rPr>
                <w:rFonts w:asciiTheme="minorHAnsi" w:hAnsiTheme="minorHAnsi" w:cstheme="minorHAnsi"/>
                <w:spacing w:val="1"/>
              </w:rPr>
            </w:pPr>
            <w:r w:rsidRPr="00601392">
              <w:rPr>
                <w:rFonts w:asciiTheme="minorHAnsi" w:hAnsiTheme="minorHAnsi" w:cstheme="minorHAnsi"/>
              </w:rPr>
              <w:t xml:space="preserve">2026 год </w:t>
            </w:r>
            <w:r w:rsidRPr="00601392">
              <w:rPr>
                <w:rFonts w:asciiTheme="minorHAnsi" w:hAnsiTheme="minorHAnsi" w:cstheme="minorHAnsi"/>
                <w:w w:val="90"/>
              </w:rPr>
              <w:t xml:space="preserve">— </w:t>
            </w:r>
            <w:r w:rsidRPr="00601392">
              <w:rPr>
                <w:rFonts w:asciiTheme="minorHAnsi" w:hAnsiTheme="minorHAnsi" w:cstheme="minorHAnsi"/>
              </w:rPr>
              <w:t>25319 тыс. рублей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:rsidR="00601392" w:rsidRPr="00601392" w:rsidRDefault="00601392" w:rsidP="00601392">
            <w:pPr>
              <w:pStyle w:val="TableParagraph"/>
              <w:tabs>
                <w:tab w:val="left" w:pos="2725"/>
                <w:tab w:val="left" w:pos="3308"/>
                <w:tab w:val="left" w:pos="4161"/>
              </w:tabs>
              <w:spacing w:line="228" w:lineRule="auto"/>
              <w:ind w:right="162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Финансирование</w:t>
            </w:r>
            <w:r w:rsidRPr="00601392">
              <w:rPr>
                <w:rFonts w:asciiTheme="minorHAnsi" w:hAnsiTheme="minorHAnsi" w:cstheme="minorHAnsi"/>
              </w:rPr>
              <w:tab/>
              <w:t>за</w:t>
            </w:r>
            <w:r w:rsidRPr="00601392">
              <w:rPr>
                <w:rFonts w:asciiTheme="minorHAnsi" w:hAnsiTheme="minorHAnsi" w:cstheme="minorHAnsi"/>
              </w:rPr>
              <w:tab/>
              <w:t>счет</w:t>
            </w:r>
            <w:r w:rsidRPr="00601392">
              <w:rPr>
                <w:rFonts w:asciiTheme="minorHAnsi" w:hAnsiTheme="minorHAnsi" w:cstheme="minorHAnsi"/>
              </w:rPr>
              <w:tab/>
            </w:r>
            <w:r w:rsidRPr="00601392">
              <w:rPr>
                <w:rFonts w:asciiTheme="minorHAnsi" w:hAnsiTheme="minorHAnsi" w:cstheme="minorHAnsi"/>
                <w:w w:val="90"/>
              </w:rPr>
              <w:t>внебюджетных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средств</w:t>
            </w:r>
            <w:r w:rsidRPr="00601392">
              <w:rPr>
                <w:rFonts w:asciiTheme="minorHAnsi" w:hAnsiTheme="minorHAnsi" w:cstheme="minorHAnsi"/>
                <w:spacing w:val="30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составляет</w:t>
            </w:r>
            <w:r w:rsidRPr="00601392">
              <w:rPr>
                <w:rFonts w:asciiTheme="minorHAnsi" w:hAnsiTheme="minorHAnsi" w:cstheme="minorHAnsi"/>
                <w:spacing w:val="3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22177,5</w:t>
            </w:r>
            <w:r w:rsidRPr="00601392">
              <w:rPr>
                <w:rFonts w:asciiTheme="minorHAnsi" w:hAnsiTheme="minorHAnsi" w:cstheme="minorHAnsi"/>
                <w:spacing w:val="33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тыс.</w:t>
            </w:r>
            <w:r w:rsidRPr="00601392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рублей,</w:t>
            </w:r>
            <w:r w:rsidRPr="00601392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в</w:t>
            </w:r>
            <w:r w:rsidRPr="00601392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том</w:t>
            </w:r>
            <w:r w:rsidRPr="00601392">
              <w:rPr>
                <w:rFonts w:asciiTheme="minorHAnsi" w:hAnsiTheme="minorHAnsi" w:cstheme="minorHAnsi"/>
                <w:spacing w:val="-6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числе</w:t>
            </w:r>
            <w:r w:rsidRPr="00601392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 годам:</w:t>
            </w:r>
          </w:p>
          <w:p w:rsidR="00601392" w:rsidRPr="00601392" w:rsidRDefault="00601392" w:rsidP="00601392">
            <w:pPr>
              <w:pStyle w:val="TableParagraph"/>
              <w:spacing w:line="31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2021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3577,5</w:t>
            </w:r>
            <w:r w:rsidRPr="00601392">
              <w:rPr>
                <w:rFonts w:asciiTheme="minorHAnsi" w:hAnsiTheme="minorHAnsi" w:cstheme="minorHAnsi"/>
                <w:spacing w:val="3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2022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3400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2023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-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3800</w:t>
            </w:r>
            <w:r w:rsidRPr="00601392">
              <w:rPr>
                <w:rFonts w:asciiTheme="minorHAnsi" w:hAnsiTheme="minorHAnsi" w:cstheme="minorHAnsi"/>
                <w:spacing w:val="2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2024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3800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2025</w:t>
            </w:r>
            <w:r w:rsidRPr="00601392">
              <w:rPr>
                <w:rFonts w:asciiTheme="minorHAnsi" w:hAnsiTheme="minorHAnsi" w:cstheme="minorHAnsi"/>
                <w:spacing w:val="3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3800</w:t>
            </w:r>
            <w:r w:rsidRPr="00601392">
              <w:rPr>
                <w:rFonts w:asciiTheme="minorHAnsi" w:hAnsiTheme="minorHAnsi" w:cstheme="minorHAnsi"/>
                <w:spacing w:val="1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1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2026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-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3800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рублей.</w:t>
            </w:r>
          </w:p>
          <w:p w:rsidR="00601392" w:rsidRPr="00601392" w:rsidRDefault="00601392" w:rsidP="00601392">
            <w:pPr>
              <w:pStyle w:val="TableParagraph"/>
              <w:spacing w:before="8" w:line="225" w:lineRule="auto"/>
              <w:ind w:right="97"/>
              <w:jc w:val="both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Объемы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  <w:position w:val="1"/>
              </w:rPr>
              <w:t>финансирования</w:t>
            </w:r>
            <w:r w:rsidRPr="00601392">
              <w:rPr>
                <w:rFonts w:asciiTheme="minorHAnsi" w:hAnsiTheme="minorHAnsi" w:cstheme="minorHAnsi"/>
                <w:spacing w:val="1"/>
                <w:position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  <w:position w:val="1"/>
              </w:rPr>
              <w:t>мероприятий</w:t>
            </w:r>
            <w:r w:rsidRPr="00601392">
              <w:rPr>
                <w:rFonts w:asciiTheme="minorHAnsi" w:hAnsiTheme="minorHAnsi" w:cstheme="minorHAnsi"/>
                <w:spacing w:val="1"/>
                <w:position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 xml:space="preserve">Программы </w:t>
            </w:r>
            <w:r>
              <w:rPr>
                <w:rFonts w:asciiTheme="minorHAnsi" w:hAnsiTheme="minorHAnsi" w:cstheme="minorHAnsi"/>
                <w:w w:val="95"/>
              </w:rPr>
              <w:t>ежегодно подлежат уточ</w:t>
            </w:r>
            <w:r w:rsidRPr="00601392">
              <w:rPr>
                <w:rFonts w:asciiTheme="minorHAnsi" w:hAnsiTheme="minorHAnsi" w:cstheme="minorHAnsi"/>
                <w:w w:val="95"/>
              </w:rPr>
              <w:t>нению при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spacing w:val="-1"/>
              </w:rPr>
              <w:t>формировании</w:t>
            </w:r>
            <w:r w:rsidRPr="00601392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бюджета</w:t>
            </w:r>
            <w:r w:rsidRPr="00601392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на</w:t>
            </w:r>
            <w:r w:rsidRPr="00601392">
              <w:rPr>
                <w:rFonts w:asciiTheme="minorHAnsi" w:hAnsiTheme="minorHAnsi" w:cstheme="minorHAnsi"/>
                <w:spacing w:val="69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соответствующий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финансовый</w:t>
            </w:r>
            <w:r w:rsidRPr="00601392">
              <w:rPr>
                <w:rFonts w:asciiTheme="minorHAnsi" w:hAnsiTheme="minorHAnsi" w:cstheme="minorHAnsi"/>
                <w:spacing w:val="22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год</w:t>
            </w:r>
            <w:r>
              <w:rPr>
                <w:rFonts w:asciiTheme="minorHAnsi" w:hAnsiTheme="minorHAnsi" w:cstheme="minorHAnsi"/>
                <w:w w:val="95"/>
              </w:rPr>
              <w:t>.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9024" w:type="dxa"/>
            <w:gridSpan w:val="3"/>
            <w:tcBorders>
              <w:top w:val="nil"/>
            </w:tcBorders>
          </w:tcPr>
          <w:p w:rsidR="00D41111" w:rsidRDefault="00D41111">
            <w:pPr>
              <w:pStyle w:val="ConsPlusNormal"/>
              <w:jc w:val="both"/>
            </w:pPr>
            <w:r>
              <w:lastRenderedPageBreak/>
              <w:t xml:space="preserve">(п. 8 в ред. </w:t>
            </w:r>
            <w:hyperlink r:id="rId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</w:t>
            </w:r>
            <w:r w:rsidR="00601392">
              <w:t xml:space="preserve">лгородской области от 19.03.2024 N </w:t>
            </w:r>
            <w:r>
              <w:t>3</w:t>
            </w:r>
            <w:r w:rsidR="00601392">
              <w:t>25</w:t>
            </w:r>
            <w:r>
              <w:t>-па)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9.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1. Доля территории муниципального образования, охваченной качественным теле- и радиовещанием, от общей площади территории, %</w:t>
            </w:r>
          </w:p>
          <w:p w:rsidR="00D41111" w:rsidRDefault="00D41111">
            <w:pPr>
              <w:pStyle w:val="ConsPlusNormal"/>
              <w:jc w:val="both"/>
            </w:pPr>
            <w:r>
              <w:t>2. Доля газетных площадей с информацией о деятельности органов местного самоуправления, в общем объеме тиража, %.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3. 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%.</w:t>
            </w:r>
          </w:p>
          <w:p w:rsidR="00D41111" w:rsidRDefault="00D41111">
            <w:pPr>
              <w:pStyle w:val="ConsPlusNormal"/>
              <w:jc w:val="both"/>
            </w:pPr>
            <w:r>
              <w:t>4. 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10.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К концу 2026 года:</w:t>
            </w:r>
          </w:p>
          <w:p w:rsidR="00D41111" w:rsidRDefault="00D41111">
            <w:pPr>
              <w:pStyle w:val="ConsPlusNormal"/>
              <w:jc w:val="both"/>
            </w:pPr>
            <w:r>
              <w:t>1. Увеличение доли территории муниципального образования, охваченной качественным теле- и радиовещанием, от общей площади территории, до 91,3%.</w:t>
            </w:r>
          </w:p>
          <w:p w:rsidR="00D41111" w:rsidRDefault="00D41111">
            <w:pPr>
              <w:pStyle w:val="ConsPlusNormal"/>
              <w:jc w:val="both"/>
            </w:pPr>
            <w:r>
              <w:t>2.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3. Повышение уровня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местных СМИ до 100%.</w:t>
            </w:r>
          </w:p>
          <w:p w:rsidR="00D41111" w:rsidRDefault="00D41111">
            <w:pPr>
              <w:pStyle w:val="ConsPlusNormal"/>
              <w:jc w:val="both"/>
            </w:pPr>
            <w:r>
      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D41111" w:rsidRDefault="00D41111">
      <w:pPr>
        <w:pStyle w:val="ConsPlusTitle"/>
        <w:jc w:val="center"/>
      </w:pPr>
      <w:r>
        <w:t>числе формулировки основных проблем в указанной</w:t>
      </w:r>
    </w:p>
    <w:p w:rsidR="00D41111" w:rsidRDefault="00D41111">
      <w:pPr>
        <w:pStyle w:val="ConsPlusTitle"/>
        <w:jc w:val="center"/>
      </w:pPr>
      <w:r>
        <w:t>сфере и прогноз ее развития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Средства массовой информации (далее - 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 сохранение и укрепление нравственных ценностей общества, духовности, традиций патриотизма и гуманизма, культурного и научного потенциала. 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Развитие </w:t>
      </w:r>
      <w:proofErr w:type="spellStart"/>
      <w:r>
        <w:t>медиаиндустрии</w:t>
      </w:r>
      <w:proofErr w:type="spellEnd"/>
      <w:r>
        <w:t xml:space="preserve">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Представляется, что предложения Программы конкретизируют систему приоритетов в сфере развития информационного пространства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Население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значимую информацию о событиях, происходящих на территории муниципального образования и 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Информационное пространство </w:t>
      </w:r>
      <w:proofErr w:type="spellStart"/>
      <w:r>
        <w:t>Губкинского</w:t>
      </w:r>
      <w:proofErr w:type="spellEnd"/>
      <w:r>
        <w:t xml:space="preserve"> городского округа представлено МАУ "</w:t>
      </w:r>
      <w:proofErr w:type="spellStart"/>
      <w:r>
        <w:t>Губкинский</w:t>
      </w:r>
      <w:proofErr w:type="spellEnd"/>
      <w:r>
        <w:t xml:space="preserve"> </w:t>
      </w:r>
      <w:proofErr w:type="spellStart"/>
      <w:r>
        <w:t>телерадиокомитет</w:t>
      </w:r>
      <w:proofErr w:type="spellEnd"/>
      <w:r>
        <w:t xml:space="preserve">", в структуру которого входят редакции телевидения, радиовещания и еженедельника "Эфир Губкина" с приложением "Муниципальный вестник", городской информационно-общественной газетой "Новое время", </w:t>
      </w:r>
      <w:proofErr w:type="spellStart"/>
      <w:r>
        <w:t>Губкинской</w:t>
      </w:r>
      <w:proofErr w:type="spellEnd"/>
      <w:r>
        <w:t xml:space="preserve"> районной общественно-политической газетой Белгородской области "Сельские просторы".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Редакции местных СМИ в соответствии с уставами осуществляют свою основную задачу -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 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"</w:t>
      </w:r>
      <w:proofErr w:type="spellStart"/>
      <w:r>
        <w:t>Губкинский</w:t>
      </w:r>
      <w:proofErr w:type="spellEnd"/>
      <w:r>
        <w:t xml:space="preserve"> </w:t>
      </w:r>
      <w:proofErr w:type="spellStart"/>
      <w:r>
        <w:t>телерадиокомитет</w:t>
      </w:r>
      <w:proofErr w:type="spellEnd"/>
      <w:r>
        <w:t>", газеты "Новое время", с 2013 года - официальный сайт газеты "Сельские просторы". Кроме этого, в 2017 году зарегистрированы электронные СМИ "Новое время 31" и "Просторы 31", направленные на информирование населения через сеть Интернет и социальные сети.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массовых коммуникаций и информационных технологий администрации, что позволяет более эффективно взаимодействовать в плане своевременного и полного информирования жителей о социально значимых мероприятиях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"Содействие развитию, появлению и укреплению институтов гражданского сообщества", "Обеспечение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"Развитие местных СМИ", "Развитие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Несмотря на проводимую работу, в сфере развития информационного пространства муниципального образования остается нерешенным ряд ключевых проблем: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- недостаточное количество новых </w:t>
      </w:r>
      <w:proofErr w:type="spellStart"/>
      <w:r>
        <w:t>разножанровых</w:t>
      </w:r>
      <w:proofErr w:type="spellEnd"/>
      <w:r>
        <w:t xml:space="preserve"> телевизионных программ, тематических рубрик и авторских материалов в печатных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Данные проблемы целесообразно решить программно-целевым методом. В конечном итоге реализация комплекса мероприятий Программы позволит обеспечить достижение цели и решение поставленных задач.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SWOT-анализ текущей ситуации в сфере реализации Программы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Программы.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Неперспективным является отказ от реализации мероприятий Программы,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Общий вид матрицы SWOT-анализа реализации Программы приведен в таблице 1.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</w:pPr>
      <w:r>
        <w:t>Таблица 1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center"/>
      </w:pPr>
      <w:r>
        <w:t>Общий вид матрицы SWOT-анализа реализации 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4"/>
        <w:gridCol w:w="3855"/>
        <w:gridCol w:w="3855"/>
      </w:tblGrid>
      <w:tr w:rsidR="00D41111"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Сильные стороны (S)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Слабые стороны (W)</w:t>
            </w:r>
          </w:p>
        </w:tc>
      </w:tr>
      <w:tr w:rsidR="00D41111"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Внутренняя среда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1. Наличие соответствующих нормативных правовых актов.</w:t>
            </w:r>
          </w:p>
          <w:p w:rsidR="00D41111" w:rsidRDefault="00D41111">
            <w:pPr>
              <w:pStyle w:val="ConsPlusNormal"/>
              <w:jc w:val="center"/>
            </w:pPr>
            <w:r>
              <w:t>2. Обеспечение населения городского округа качественной продукцией печатных и электронных СМИ.</w:t>
            </w:r>
          </w:p>
          <w:p w:rsidR="00D41111" w:rsidRDefault="00D41111">
            <w:pPr>
              <w:pStyle w:val="ConsPlusNormal"/>
              <w:jc w:val="center"/>
            </w:pPr>
            <w:r>
              <w:t>3. Обеспечение доступа населения к информации.</w:t>
            </w:r>
          </w:p>
          <w:p w:rsidR="00D41111" w:rsidRDefault="00D41111">
            <w:pPr>
              <w:pStyle w:val="ConsPlusNormal"/>
              <w:jc w:val="center"/>
            </w:pPr>
            <w:r>
              <w:t>4. Наличие квалифицированного персонала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1. Недостаточное финансирование мероприятий из бюджетных источников.</w:t>
            </w:r>
          </w:p>
          <w:p w:rsidR="00D41111" w:rsidRDefault="00D41111">
            <w:pPr>
              <w:pStyle w:val="ConsPlusNormal"/>
              <w:jc w:val="center"/>
            </w:pPr>
            <w:r>
              <w:t>2. Слабая материально-техническая база муниципальных печатных и электронных СМИ.</w:t>
            </w:r>
          </w:p>
          <w:p w:rsidR="00D41111" w:rsidRDefault="00D41111">
            <w:pPr>
              <w:pStyle w:val="ConsPlusNormal"/>
              <w:jc w:val="center"/>
            </w:pPr>
            <w:r>
              <w:t>3. Возможность утраты управления при смене кадрового состава, выполняющего работу</w:t>
            </w:r>
          </w:p>
        </w:tc>
      </w:tr>
      <w:tr w:rsidR="00D41111"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Возможности (O)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Угрозы (T)</w:t>
            </w:r>
          </w:p>
        </w:tc>
      </w:tr>
      <w:tr w:rsidR="00D41111"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Внешняя среда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D41111" w:rsidRDefault="00D41111">
            <w:pPr>
              <w:pStyle w:val="ConsPlusNormal"/>
              <w:jc w:val="center"/>
            </w:pPr>
            <w:r>
              <w:t>2. Получение источника финансирования на трехлетний период.</w:t>
            </w:r>
          </w:p>
          <w:p w:rsidR="00D41111" w:rsidRDefault="00D41111">
            <w:pPr>
              <w:pStyle w:val="ConsPlusNormal"/>
              <w:jc w:val="center"/>
            </w:pPr>
            <w:r>
              <w:t>3. Закрепление государственных гарантий, конституционных прав человека и гражданина в информационном обществе, создание равных возможностей для доступа граждан к информации</w:t>
            </w:r>
          </w:p>
        </w:tc>
        <w:tc>
          <w:tcPr>
            <w:tcW w:w="3855" w:type="dxa"/>
          </w:tcPr>
          <w:p w:rsidR="00D41111" w:rsidRDefault="00D41111">
            <w:pPr>
              <w:pStyle w:val="ConsPlusNormal"/>
              <w:jc w:val="center"/>
            </w:pPr>
            <w:r>
              <w:t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Программы.</w:t>
            </w:r>
          </w:p>
          <w:p w:rsidR="00D41111" w:rsidRDefault="00D41111">
            <w:pPr>
              <w:pStyle w:val="ConsPlusNormal"/>
              <w:jc w:val="center"/>
            </w:pPr>
            <w:r>
              <w:t>2. Возможная нехватка финансовых средств бюджета городского округа в период реализации Программы вследствие возможности возникновения негативных явлений, имеющих форс-мажорный характер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Реализация комплекса мероприятий, предусмотренных Программой,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</w:t>
      </w:r>
      <w:proofErr w:type="spellStart"/>
      <w:r>
        <w:t>Губкинского</w:t>
      </w:r>
      <w:proofErr w:type="spellEnd"/>
      <w:r>
        <w:t xml:space="preserve">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Целевые индикаторы, представляющие количественное выражение качественных изменений в сфере развития информационного пространства </w:t>
      </w:r>
      <w:proofErr w:type="spellStart"/>
      <w:r>
        <w:t>Губкинского</w:t>
      </w:r>
      <w:proofErr w:type="spellEnd"/>
      <w:r>
        <w:t xml:space="preserve"> городского округа, предназначены для оценки наиболее существенных результатов реализации Программы.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D41111" w:rsidRDefault="00D41111">
      <w:pPr>
        <w:pStyle w:val="ConsPlusTitle"/>
        <w:jc w:val="center"/>
      </w:pPr>
      <w:r>
        <w:t>Программы, цели, задачи и показатели достижения целей и</w:t>
      </w:r>
    </w:p>
    <w:p w:rsidR="00D41111" w:rsidRDefault="00D41111">
      <w:pPr>
        <w:pStyle w:val="ConsPlusTitle"/>
        <w:jc w:val="center"/>
      </w:pPr>
      <w:r>
        <w:t>решения задач, описание основных конечных результатов</w:t>
      </w:r>
    </w:p>
    <w:p w:rsidR="00D41111" w:rsidRDefault="00D41111">
      <w:pPr>
        <w:pStyle w:val="ConsPlusTitle"/>
        <w:jc w:val="center"/>
      </w:pPr>
      <w:r>
        <w:t>Программы, сроков и этапов реализации Программы</w:t>
      </w:r>
    </w:p>
    <w:p w:rsidR="00D41111" w:rsidRDefault="00D41111">
      <w:pPr>
        <w:pStyle w:val="ConsPlusNormal"/>
        <w:jc w:val="both"/>
      </w:pPr>
    </w:p>
    <w:p w:rsidR="00D41111" w:rsidRDefault="002936D1" w:rsidP="002936D1">
      <w:pPr>
        <w:pStyle w:val="ConsPlusNormal"/>
        <w:spacing w:before="220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</w:t>
      </w:r>
      <w:r>
        <w:t xml:space="preserve"> Белгородской области на период </w:t>
      </w:r>
      <w:r>
        <w:t xml:space="preserve">до 2030 года, утвержденной постановлением Правительства Белгородской области от 11 июля 2023 года № 371-пп, а также Стратегии социально- 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округа, целью Программы является расширение объема и спектра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 xml:space="preserve">, создание солидарного общества, </w:t>
      </w:r>
      <w:proofErr w:type="spellStart"/>
      <w:r>
        <w:t>содеиствие</w:t>
      </w:r>
      <w:proofErr w:type="spellEnd"/>
      <w:r>
        <w:t xml:space="preserve"> формированию благоприятного имиджа территории, а также повышение качества предоставления информационных услуг периодическими печатными и электронными СМИ.</w:t>
      </w:r>
      <w:r>
        <w:t xml:space="preserve"> </w:t>
      </w:r>
      <w:r w:rsidR="00D41111">
        <w:t xml:space="preserve">Содержание и мероприятия Программы соответствуют четвертому стратегическому направлению "Развитие гражданского общества </w:t>
      </w:r>
      <w:proofErr w:type="spellStart"/>
      <w:r w:rsidR="00D41111">
        <w:t>Губкинского</w:t>
      </w:r>
      <w:proofErr w:type="spellEnd"/>
      <w:r w:rsidR="00D41111">
        <w:t xml:space="preserve"> городского округа" и стратегической задаче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"Развитие и модернизация информационно-телекоммуникационной инфраструктуры </w:t>
      </w:r>
      <w:proofErr w:type="spellStart"/>
      <w:r w:rsidR="00D41111">
        <w:t>Губкинского</w:t>
      </w:r>
      <w:proofErr w:type="spellEnd"/>
      <w:r w:rsidR="00D41111">
        <w:t xml:space="preserve"> городского округа" и "Обеспечение населения </w:t>
      </w:r>
      <w:proofErr w:type="spellStart"/>
      <w:r w:rsidR="00D41111">
        <w:t>Губкинского</w:t>
      </w:r>
      <w:proofErr w:type="spellEnd"/>
      <w:r w:rsidR="00D41111">
        <w:t xml:space="preserve"> городского округа Белгородской области информацией о деятельности органов местного самоуправления в печатных и электронных СМИ" Стратегии социально-экономического развития </w:t>
      </w:r>
      <w:proofErr w:type="spellStart"/>
      <w:r w:rsidR="00D41111">
        <w:t>Губкинского</w:t>
      </w:r>
      <w:proofErr w:type="spellEnd"/>
      <w:r w:rsidR="00D41111">
        <w:t xml:space="preserve"> городского округа до 2025 года.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Для достижения поставленной цели требуется решение основных задач Программы: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повышение качества предоставления информационных услуг периодическими печатными и электронными СМИ;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- расширение объема и спектра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а также содействие формированию благоприятного имиджа территории;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Решение указанных задач будет осуществляться путем реализации программных мероприятий с 2014 по 2026 годы.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Программе выделяется два этапа: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 этап: 2014 - 2020 годы;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II этап: 2021 - 2026 годы.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По итогам реализации Программы ожидается достижение следующих конечных показателей: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1. Увеличение доли территории муниципального образования, охваченной качественным теле- и радиовещанием, от общей площади территории до 91,3%.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2.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3. Повышение уровня доведенной до сведения жителей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D41111" w:rsidRDefault="00D41111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D41111" w:rsidRDefault="00D41111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 изменение которых необходимо для реализации Программы, представлен в </w:t>
      </w:r>
      <w:hyperlink w:anchor="P1023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цели и обеспечить решение задач Программы, и состоит из трех подпрограмм: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1. </w:t>
      </w:r>
      <w:hyperlink w:anchor="P271">
        <w:r>
          <w:rPr>
            <w:color w:val="0000FF"/>
          </w:rPr>
          <w:t>Подпрограмма</w:t>
        </w:r>
      </w:hyperlink>
      <w:r>
        <w:t xml:space="preserve"> "Развитие материально-технической базы муниципальных печатных и электронных СМИ".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информации о деятельности органов местного самоуправления.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Реализация мероприятий подпрограммы позволит решить задачи подпрограммы, а также обеспечить внедрение перспективных цифровых 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2. </w:t>
      </w:r>
      <w:hyperlink w:anchor="P384">
        <w:r>
          <w:rPr>
            <w:color w:val="0000FF"/>
          </w:rPr>
          <w:t>Подпрограмма</w:t>
        </w:r>
      </w:hyperlink>
      <w:r>
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Подпрограмма направлена в первую очередь на расширение объема и спектра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Предоставление субсидий муниципальным учреждениям и некоммерческим организациям позволит расширить объем и спектр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</w:t>
      </w:r>
      <w:proofErr w:type="spellStart"/>
      <w:r>
        <w:t>губкинской</w:t>
      </w:r>
      <w:proofErr w:type="spellEnd"/>
      <w:r>
        <w:t xml:space="preserve"> территории.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3. </w:t>
      </w:r>
      <w:hyperlink w:anchor="P505">
        <w:r>
          <w:rPr>
            <w:color w:val="0000FF"/>
          </w:rPr>
          <w:t>Подпрограмма</w:t>
        </w:r>
      </w:hyperlink>
      <w:r>
        <w:t xml:space="preserve"> "Кадровая политика в сфере развития информационного пространства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Исчерпывающий перечень основных мероприятий подпрограммы представлен в </w:t>
      </w:r>
      <w:hyperlink w:anchor="P604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5. Ресурсное обеспечение Программы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Источником ресурсного обеспечения Программы являются средства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в </w:t>
      </w:r>
      <w:hyperlink w:anchor="P1067">
        <w:r>
          <w:rPr>
            <w:color w:val="0000FF"/>
          </w:rPr>
          <w:t>приложениях N 3</w:t>
        </w:r>
      </w:hyperlink>
      <w:r>
        <w:t xml:space="preserve">, </w:t>
      </w:r>
      <w:hyperlink w:anchor="P1890">
        <w:r>
          <w:rPr>
            <w:color w:val="0000FF"/>
          </w:rPr>
          <w:t>4</w:t>
        </w:r>
      </w:hyperlink>
      <w:r>
        <w:t xml:space="preserve"> к Программе.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Сводная информация по муниципальным заданиям приводится в </w:t>
      </w:r>
      <w:hyperlink w:anchor="P2261">
        <w:r>
          <w:rPr>
            <w:color w:val="0000FF"/>
          </w:rPr>
          <w:t>приложении N 5</w:t>
        </w:r>
      </w:hyperlink>
      <w:r>
        <w:t xml:space="preserve"> к Программе.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D41111" w:rsidRDefault="00D41111">
      <w:pPr>
        <w:pStyle w:val="ConsPlusTitle"/>
        <w:jc w:val="center"/>
      </w:pPr>
      <w:r>
        <w:t>управления рисками реализации Программы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Программы, а также невыполнению результатов Программы. Способами ограничения финансовых рисков выступают следующие меры: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законодательства, длительностью формирования муниципальных правовых актов, необходимых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законодательстве, контроль планируемых сроков принятия муниципальных правовых актов, необходимых для реализации Программы.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3. 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на: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4. 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несвоевременное осуществление мониторинга реализации Программы,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ответственного исполнителя, соисполнителей и участников Программы, низкому качеству реализации.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Устранение рисков возможно за счет организации единого координационного органа по реализации Программы и обеспечения постоянного и оперативного мониторинга (в том числе социологического) реализации Программы и ее подпрограмм, а также за счет корректировки Программы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Программы.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bookmarkStart w:id="1" w:name="P271"/>
      <w:bookmarkEnd w:id="1"/>
      <w:r>
        <w:t>Подпрограмма</w:t>
      </w:r>
    </w:p>
    <w:p w:rsidR="00D41111" w:rsidRDefault="00D41111">
      <w:pPr>
        <w:pStyle w:val="ConsPlusTitle"/>
        <w:jc w:val="center"/>
      </w:pPr>
      <w:r>
        <w:t>"Развитие материально-технической базы муниципальных</w:t>
      </w:r>
    </w:p>
    <w:p w:rsidR="00D41111" w:rsidRDefault="00D41111">
      <w:pPr>
        <w:pStyle w:val="ConsPlusTitle"/>
        <w:jc w:val="center"/>
      </w:pPr>
      <w:r>
        <w:t>печатных и электронных СМИ"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Паспорт подпрограммы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"Развитие материально-технической базы муниципальных печатных и электронных СМИ" (далее - подпрограмма 1)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Задача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2014 - 2026 годы</w:t>
            </w:r>
          </w:p>
          <w:p w:rsidR="00D41111" w:rsidRDefault="00D41111">
            <w:pPr>
              <w:pStyle w:val="ConsPlusNormal"/>
              <w:jc w:val="both"/>
            </w:pPr>
            <w:r>
              <w:t>I этап: 2014 - 2020 годы</w:t>
            </w:r>
          </w:p>
          <w:p w:rsidR="00D41111" w:rsidRDefault="00D41111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 xml:space="preserve">Объем бюджетных ассигнований подпрограммы 1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Общий объем финансирования мероприятий подпрограммы 1 на I этапе составляет 4177,1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Финансирование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в 2014 - 2020 годах составляет 1428 тыс. рублей, в том числе по годам:</w:t>
            </w:r>
          </w:p>
          <w:p w:rsidR="00D41111" w:rsidRDefault="00D41111">
            <w:pPr>
              <w:pStyle w:val="ConsPlusNormal"/>
              <w:jc w:val="both"/>
            </w:pPr>
            <w:r>
              <w:t>2014 год - 512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2015 год - 125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2016 год - 215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2017 год - 150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2018 год - 150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2019 год - 111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2020 год - 165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>Финансирование за счет внебюджетных средств составляет 2749,1 тыс. рублей, в том числе по годам:</w:t>
            </w:r>
          </w:p>
          <w:p w:rsidR="00D41111" w:rsidRDefault="00D41111">
            <w:pPr>
              <w:pStyle w:val="ConsPlusNormal"/>
              <w:jc w:val="both"/>
            </w:pPr>
            <w:r>
              <w:t>2014 год - 641,2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2015 год - 686,3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2016 год - 261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2017 год - 253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2018 год - 279,6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2019 год - 311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2020 год - 317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>Общий объем финансирования мероприятий подпрограммы 1 на II этапе составляет 2948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Финансирование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составляет 570,5 тыс. рублей, в том числе по годам:</w:t>
            </w:r>
          </w:p>
          <w:p w:rsidR="00D41111" w:rsidRDefault="00D41111">
            <w:pPr>
              <w:pStyle w:val="ConsPlusNormal"/>
              <w:jc w:val="both"/>
            </w:pPr>
            <w:r>
              <w:t>2021 год - 70,5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2022 год - 0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2023 год - 500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2024 год - 0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2025 год - 0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2026 год - 0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>Финансирование за счет внебюджетных средств составляет 2377,5 тыс. рублей, в том числе по годам:</w:t>
            </w:r>
          </w:p>
          <w:p w:rsidR="00D41111" w:rsidRDefault="00D41111">
            <w:pPr>
              <w:pStyle w:val="ConsPlusNormal"/>
              <w:jc w:val="both"/>
            </w:pPr>
            <w:r>
              <w:t>2021 год - 877,5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2022 год - 300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2023 год - 300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2024 год - 300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2025 год - 300 тыс. рублей;</w:t>
            </w:r>
          </w:p>
          <w:p w:rsidR="00D41111" w:rsidRDefault="00D41111">
            <w:pPr>
              <w:pStyle w:val="ConsPlusNormal"/>
              <w:jc w:val="both"/>
            </w:pPr>
            <w:r>
              <w:t>2026 год - 300 тыс. рублей.</w:t>
            </w:r>
          </w:p>
          <w:p w:rsidR="00D41111" w:rsidRDefault="00D41111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соответствующий финансовый год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Показатели конечных результатов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К концу 2026 года:</w:t>
            </w:r>
          </w:p>
          <w:p w:rsidR="00D41111" w:rsidRDefault="00D41111">
            <w:pPr>
              <w:pStyle w:val="ConsPlusNormal"/>
              <w:jc w:val="both"/>
            </w:pPr>
            <w:r>
              <w:t>увеличение доли территории муниципального образования, охваченной качественным теле- и радиовещанием, от общей площади территории, до 91,3%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D41111" w:rsidRDefault="00D41111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В России осуществлен переход от аналогового к цифровому наземному эфирному вещанию. Использование цифровых методов обработки сигналов позволяет существенно увеличить емкость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</w:t>
      </w:r>
      <w:proofErr w:type="spellStart"/>
      <w:r>
        <w:t>телерадиоконтента</w:t>
      </w:r>
      <w:proofErr w:type="spellEnd"/>
      <w:r>
        <w:t xml:space="preserve"> по </w:t>
      </w:r>
      <w:proofErr w:type="spellStart"/>
      <w:r>
        <w:t>мультисервисным</w:t>
      </w:r>
      <w:proofErr w:type="spellEnd"/>
      <w:r>
        <w:t xml:space="preserve"> сетям, домовым компьютерным сетям, по сетям фиксированной и мобильной телефонной связи.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Телерадиовещание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 МАУ "</w:t>
      </w:r>
      <w:proofErr w:type="spellStart"/>
      <w:r>
        <w:t>Губкинский</w:t>
      </w:r>
      <w:proofErr w:type="spellEnd"/>
      <w:r>
        <w:t xml:space="preserve"> </w:t>
      </w:r>
      <w:proofErr w:type="spellStart"/>
      <w:r>
        <w:t>телерадиокомитет</w:t>
      </w:r>
      <w:proofErr w:type="spellEnd"/>
      <w:r>
        <w:t>".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данном формате предоставляется социально значимая информация, в том числе о деятельности органов местного самоуправления.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уменьшение аудитории ввиду перехода телезрителей на цифровое телевидение и радио;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- ослабление единого информационного пространства </w:t>
      </w:r>
      <w:proofErr w:type="spellStart"/>
      <w:r>
        <w:t>Губкинского</w:t>
      </w:r>
      <w:proofErr w:type="spellEnd"/>
      <w:r>
        <w:t xml:space="preserve"> городского округа;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- рост технологического и качественного отставания муниципального телевидения и радио от развития рынка телекоммуникаций.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Обеспечение стабильной работы </w:t>
      </w:r>
      <w:proofErr w:type="spellStart"/>
      <w:r>
        <w:t>телерадиокомитета</w:t>
      </w:r>
      <w:proofErr w:type="spellEnd"/>
      <w:r>
        <w:t xml:space="preserve">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proofErr w:type="spellStart"/>
      <w:r>
        <w:t>губкинцев</w:t>
      </w:r>
      <w:proofErr w:type="spellEnd"/>
      <w:r>
        <w:t xml:space="preserve"> и создание солидарного общества, позволит эффективно решить задачи по включению </w:t>
      </w:r>
      <w:proofErr w:type="spellStart"/>
      <w:r>
        <w:t>губкинского</w:t>
      </w:r>
      <w:proofErr w:type="spellEnd"/>
      <w:r>
        <w:t xml:space="preserve">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Для достижения поставленной цели требуется решение основной задачи подпрограммы 1 - повышение эффективности работы средств массовой информации по освещению деятельности органов местного самоуправления.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Решение указанной задачи будет осуществляться путем реализации мероприятий подпрограммы 1 в течение 2014 - 2026 годов.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подпрограмме 1 выделяется два этапа: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 этап: 2014 - 2020 годы;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II этап: 2021 - 2026 годы.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Мероприятия подпрограммы 1,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1.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3. Обоснование выделения системы основных мероприятий</w:t>
      </w:r>
    </w:p>
    <w:p w:rsidR="00D41111" w:rsidRDefault="00D41111">
      <w:pPr>
        <w:pStyle w:val="ConsPlusTitle"/>
        <w:jc w:val="center"/>
      </w:pPr>
      <w:r>
        <w:t>и краткое описание основных мероприятий подпрограммы 1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Достижение цели и решение задачи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604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91,3 %.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Источником ресурсного обеспечения подпрограммы 1 являются средства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в </w:t>
      </w:r>
      <w:hyperlink w:anchor="P1067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bookmarkStart w:id="2" w:name="P384"/>
      <w:bookmarkEnd w:id="2"/>
      <w:r>
        <w:t>Подпрограмма</w:t>
      </w:r>
    </w:p>
    <w:p w:rsidR="00D41111" w:rsidRDefault="00D41111">
      <w:pPr>
        <w:pStyle w:val="ConsPlusTitle"/>
        <w:jc w:val="center"/>
      </w:pPr>
      <w:r>
        <w:t>"Формирование посредством СМИ идеологических представлений</w:t>
      </w:r>
    </w:p>
    <w:p w:rsidR="00D41111" w:rsidRDefault="00D41111">
      <w:pPr>
        <w:pStyle w:val="ConsPlusTitle"/>
        <w:jc w:val="center"/>
      </w:pPr>
      <w:r>
        <w:t>населения об общественных процессах, побуждение к позитивным</w:t>
      </w:r>
    </w:p>
    <w:p w:rsidR="00D41111" w:rsidRDefault="00D41111">
      <w:pPr>
        <w:pStyle w:val="ConsPlusTitle"/>
        <w:jc w:val="center"/>
      </w:pPr>
      <w:r>
        <w:t>социальным действиям, приобщение жителей</w:t>
      </w:r>
    </w:p>
    <w:p w:rsidR="00D41111" w:rsidRDefault="00D41111">
      <w:pPr>
        <w:pStyle w:val="ConsPlusTitle"/>
        <w:jc w:val="center"/>
      </w:pPr>
      <w:r>
        <w:t>к общественно-политическим ценностям, традиционным</w:t>
      </w:r>
    </w:p>
    <w:p w:rsidR="00D41111" w:rsidRDefault="00D41111">
      <w:pPr>
        <w:pStyle w:val="ConsPlusTitle"/>
        <w:jc w:val="center"/>
      </w:pPr>
      <w:r>
        <w:t>этическим нормам и образцам поведения"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Паспорт подпрограммы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 (далее - подпрограмма 2)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Ответственный исполнитель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Цели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Расширение объема и спектра предоставляемой населению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содействие формированию благоприятного имиджа территории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Усиление информационного сопровождения деятельности органов местного самоуправления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2014 - 2026 годы</w:t>
            </w:r>
          </w:p>
          <w:p w:rsidR="00D41111" w:rsidRDefault="00D41111">
            <w:pPr>
              <w:pStyle w:val="ConsPlusNormal"/>
              <w:jc w:val="both"/>
            </w:pPr>
            <w:r>
              <w:t>I этап: 2014 - 2020 годы</w:t>
            </w:r>
          </w:p>
          <w:p w:rsidR="00D41111" w:rsidRDefault="00D41111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D41111" w:rsidRDefault="00D41111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  <w:tcBorders>
              <w:bottom w:val="nil"/>
            </w:tcBorders>
          </w:tcPr>
          <w:p w:rsidR="00D41111" w:rsidRDefault="00D41111">
            <w:pPr>
              <w:pStyle w:val="ConsPlusNormal"/>
            </w:pPr>
            <w:r>
              <w:t xml:space="preserve">Объем Бюджетных ассигнований подпрограммы 2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  <w:tcBorders>
              <w:bottom w:val="nil"/>
            </w:tcBorders>
          </w:tcPr>
          <w:p w:rsidR="00601392" w:rsidRPr="00601392" w:rsidRDefault="00601392" w:rsidP="00601392">
            <w:pPr>
              <w:pStyle w:val="TableParagraph"/>
              <w:spacing w:line="230" w:lineRule="auto"/>
              <w:ind w:right="12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w w:val="95"/>
              </w:rPr>
              <w:t>Общий объем финан</w:t>
            </w:r>
            <w:r w:rsidRPr="00601392">
              <w:rPr>
                <w:rFonts w:asciiTheme="minorHAnsi" w:hAnsiTheme="minorHAnsi" w:cstheme="minorHAnsi"/>
                <w:w w:val="95"/>
              </w:rPr>
              <w:t>сирования мероприятий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подпрограммы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2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на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I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этапе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составляет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160253,3</w:t>
            </w:r>
            <w:r w:rsidRPr="00601392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тыс.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рублей.</w:t>
            </w:r>
          </w:p>
          <w:p w:rsidR="00601392" w:rsidRPr="00601392" w:rsidRDefault="00601392" w:rsidP="00601392">
            <w:pPr>
              <w:pStyle w:val="TableParagraph"/>
              <w:spacing w:line="230" w:lineRule="auto"/>
              <w:ind w:right="105"/>
              <w:jc w:val="both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</w:rPr>
              <w:t>Финансирование за счет средств бюджета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601392">
              <w:rPr>
                <w:rFonts w:asciiTheme="minorHAnsi" w:hAnsiTheme="minorHAnsi" w:cstheme="minorHAnsi"/>
                <w:w w:val="95"/>
              </w:rPr>
              <w:t>Губкинского</w:t>
            </w:r>
            <w:proofErr w:type="spellEnd"/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городского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округа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Белгородской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5"/>
              </w:rPr>
              <w:t>области в 2014-2020 годах составляет 106108,6</w:t>
            </w:r>
            <w:r w:rsidRPr="00601392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тыс. рублей,</w:t>
            </w:r>
            <w:r w:rsidRPr="00601392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в</w:t>
            </w:r>
            <w:r w:rsidRPr="00601392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том</w:t>
            </w:r>
            <w:r w:rsidRPr="0060139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числе</w:t>
            </w:r>
            <w:r w:rsidRPr="0060139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по</w:t>
            </w:r>
            <w:r w:rsidRPr="0060139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01392">
              <w:rPr>
                <w:rFonts w:asciiTheme="minorHAnsi" w:hAnsiTheme="minorHAnsi" w:cstheme="minorHAnsi"/>
              </w:rPr>
              <w:t>годам:</w:t>
            </w:r>
          </w:p>
          <w:p w:rsidR="00601392" w:rsidRPr="00601392" w:rsidRDefault="00601392" w:rsidP="00601392">
            <w:pPr>
              <w:pStyle w:val="TableParagraph"/>
              <w:spacing w:line="325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2014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10282,4</w:t>
            </w:r>
            <w:r w:rsidRPr="00601392">
              <w:rPr>
                <w:rFonts w:asciiTheme="minorHAnsi" w:hAnsiTheme="minorHAnsi" w:cstheme="minorHAnsi"/>
                <w:spacing w:val="3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2015</w:t>
            </w:r>
            <w:r w:rsidRPr="00601392">
              <w:rPr>
                <w:rFonts w:asciiTheme="minorHAnsi" w:hAnsiTheme="minorHAnsi" w:cstheme="minorHAnsi"/>
                <w:spacing w:val="2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10293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9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19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2016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15360</w:t>
            </w:r>
            <w:r w:rsidRPr="00601392">
              <w:rPr>
                <w:rFonts w:asciiTheme="minorHAnsi" w:hAnsiTheme="minorHAnsi" w:cstheme="minorHAnsi"/>
                <w:spacing w:val="22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2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2017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15886,2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4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2018</w:t>
            </w:r>
            <w:r w:rsidRPr="00601392">
              <w:rPr>
                <w:rFonts w:asciiTheme="minorHAnsi" w:hAnsiTheme="minorHAnsi" w:cstheme="minorHAnsi"/>
                <w:spacing w:val="28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17221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0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601392" w:rsidRPr="00601392" w:rsidRDefault="00601392" w:rsidP="00601392">
            <w:pPr>
              <w:pStyle w:val="TableParagraph"/>
              <w:spacing w:line="326" w:lineRule="exact"/>
              <w:jc w:val="left"/>
              <w:rPr>
                <w:rFonts w:asciiTheme="minorHAnsi" w:hAnsiTheme="minorHAnsi" w:cstheme="minorHAnsi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2019</w:t>
            </w:r>
            <w:r w:rsidRPr="00601392">
              <w:rPr>
                <w:rFonts w:asciiTheme="minorHAnsi" w:hAnsiTheme="minorHAnsi" w:cstheme="minorHAnsi"/>
                <w:spacing w:val="23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4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16632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25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рублей;</w:t>
            </w:r>
          </w:p>
          <w:p w:rsidR="00D41111" w:rsidRPr="00601392" w:rsidRDefault="00601392" w:rsidP="00601392">
            <w:pPr>
              <w:pStyle w:val="ConsPlusNormal"/>
              <w:jc w:val="both"/>
              <w:rPr>
                <w:rFonts w:asciiTheme="minorHAnsi" w:hAnsiTheme="minorHAnsi" w:cstheme="minorHAnsi"/>
                <w:w w:val="90"/>
              </w:rPr>
            </w:pPr>
            <w:r w:rsidRPr="00601392">
              <w:rPr>
                <w:rFonts w:asciiTheme="minorHAnsi" w:hAnsiTheme="minorHAnsi" w:cstheme="minorHAnsi"/>
                <w:w w:val="90"/>
              </w:rPr>
              <w:t>2020</w:t>
            </w:r>
            <w:r w:rsidRPr="00601392">
              <w:rPr>
                <w:rFonts w:asciiTheme="minorHAnsi" w:hAnsiTheme="minorHAnsi" w:cstheme="minorHAnsi"/>
                <w:spacing w:val="26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год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—</w:t>
            </w:r>
            <w:r w:rsidRPr="00601392">
              <w:rPr>
                <w:rFonts w:asciiTheme="minorHAnsi" w:hAnsiTheme="minorHAnsi" w:cstheme="minorHAnsi"/>
                <w:spacing w:val="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20434</w:t>
            </w:r>
            <w:r w:rsidRPr="00601392">
              <w:rPr>
                <w:rFonts w:asciiTheme="minorHAnsi" w:hAnsiTheme="minorHAnsi" w:cstheme="minorHAnsi"/>
                <w:spacing w:val="21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тыс.</w:t>
            </w:r>
            <w:r w:rsidRPr="00601392">
              <w:rPr>
                <w:rFonts w:asciiTheme="minorHAnsi" w:hAnsiTheme="minorHAnsi" w:cstheme="minorHAnsi"/>
                <w:spacing w:val="17"/>
                <w:w w:val="90"/>
              </w:rPr>
              <w:t xml:space="preserve"> </w:t>
            </w:r>
            <w:r w:rsidRPr="00601392">
              <w:rPr>
                <w:rFonts w:asciiTheme="minorHAnsi" w:hAnsiTheme="minorHAnsi" w:cstheme="minorHAnsi"/>
                <w:w w:val="90"/>
              </w:rPr>
              <w:t>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Финансирование</w:t>
            </w:r>
            <w:r>
              <w:tab/>
              <w:t>за</w:t>
            </w:r>
            <w:r>
              <w:tab/>
              <w:t>счет</w:t>
            </w:r>
            <w:r>
              <w:tab/>
              <w:t>внебюджетных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средств составляет 54144,7 тыс. рублей, в том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числе по годам: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2014 год — 13428,3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2015 год — 12992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2016 год — 6918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2017 год — 6247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2018 год — 5757,4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2019 год — 5619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2020 год — 3183 тыс. 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Общий объем финансирования мероприятий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подпрограммы</w:t>
            </w:r>
            <w:r>
              <w:tab/>
              <w:t>2</w:t>
            </w:r>
            <w:r>
              <w:tab/>
              <w:t>на</w:t>
            </w:r>
            <w:r>
              <w:tab/>
              <w:t>II</w:t>
            </w:r>
            <w:r>
              <w:tab/>
              <w:t>этапе</w:t>
            </w:r>
            <w:r>
              <w:tab/>
              <w:t>составляет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173409,5 тыс. 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Финансирование за счет средств областного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бюджета составляет 89 тыс. рублей, в том числе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по годам: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2021 год — 89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2022 год — 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2023 год — 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2024 год — 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2025 год — 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2026 год — 0 тыс. 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Финансирование за счет средств бюджета</w:t>
            </w:r>
          </w:p>
          <w:p w:rsidR="00601392" w:rsidRDefault="00601392" w:rsidP="00601392">
            <w:pPr>
              <w:pStyle w:val="ConsPlusNormal"/>
              <w:jc w:val="both"/>
            </w:pP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области составляет 153520,5 тыс. рублей, в том</w:t>
            </w:r>
          </w:p>
          <w:p w:rsidR="00601392" w:rsidRDefault="002936D1" w:rsidP="00601392">
            <w:pPr>
              <w:pStyle w:val="ConsPlusNormal"/>
              <w:jc w:val="both"/>
            </w:pPr>
            <w:r>
              <w:t>ч</w:t>
            </w:r>
            <w:r w:rsidR="00601392">
              <w:t>исле по годам: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2021 год — 22947,5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2022 год — 24339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2023 год — 25477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2024 год — 27445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2025 год — 27993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2026 год — 25319 тыс. 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Финансирование</w:t>
            </w:r>
            <w:r>
              <w:tab/>
              <w:t>за</w:t>
            </w:r>
            <w:r>
              <w:tab/>
              <w:t>счет</w:t>
            </w:r>
            <w:r>
              <w:tab/>
              <w:t>внебюджетных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средств составляет 19800 тыс. рублей, в том числе по годам: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2021 год — 2700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2022 год — 3100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2023 год — 3500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2024 год — 3500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2025 год — 3500 тыс. рублей;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2026 год — 3500 тыс. рублей.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Объемы</w:t>
            </w:r>
            <w:r>
              <w:tab/>
              <w:t>финансирования</w:t>
            </w:r>
            <w:r>
              <w:tab/>
              <w:t>мероприятий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подпрограммы 2 ежегодно подлежат уточнению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при</w:t>
            </w:r>
            <w:r>
              <w:tab/>
              <w:t>формировании</w:t>
            </w:r>
            <w:r>
              <w:tab/>
              <w:t>бюджета</w:t>
            </w:r>
            <w:r>
              <w:tab/>
              <w:t>на</w:t>
            </w:r>
          </w:p>
          <w:p w:rsidR="00601392" w:rsidRDefault="00601392" w:rsidP="00601392">
            <w:pPr>
              <w:pStyle w:val="ConsPlusNormal"/>
              <w:jc w:val="both"/>
            </w:pPr>
            <w:r>
              <w:t>соответствующий финансовый год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9024" w:type="dxa"/>
            <w:gridSpan w:val="3"/>
            <w:tcBorders>
              <w:top w:val="nil"/>
            </w:tcBorders>
          </w:tcPr>
          <w:p w:rsidR="00D41111" w:rsidRDefault="00D41111">
            <w:pPr>
              <w:pStyle w:val="ConsPlusNormal"/>
              <w:jc w:val="both"/>
            </w:pPr>
            <w:r>
              <w:t xml:space="preserve">(п. 6 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</w:t>
            </w:r>
            <w:r w:rsidR="002936D1" w:rsidRPr="002936D1">
              <w:t>от 19.03.2024 N 325-па</w:t>
            </w:r>
            <w:r>
              <w:t>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Показатели конечных результатов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1. Доля газетных площадей с информацией о деятельности органов местного самоуправления в общем объеме тиража, %.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2. 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К концу 2026 года:</w:t>
            </w:r>
          </w:p>
          <w:p w:rsidR="00D41111" w:rsidRDefault="00D41111">
            <w:pPr>
              <w:pStyle w:val="ConsPlusNormal"/>
              <w:jc w:val="both"/>
            </w:pPr>
            <w:r>
              <w:t>1.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D41111" w:rsidRDefault="00D41111">
            <w:pPr>
              <w:pStyle w:val="ConsPlusNormal"/>
              <w:jc w:val="both"/>
            </w:pPr>
            <w:r>
              <w:t xml:space="preserve">2. Повышение уровня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информации о социально-экономическом, культурном развитии муниципального образования и его общественной инфраструктуры и иной официальной информации по вопросам жизнедеятельности территории в местных СМИ до 100%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D41111" w:rsidRDefault="00D41111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 как в печатном варианте, так и предоставление населению возможности читать, смотреть, слушать издание на компьютере.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Эффективное использование информационных ресурсов посредством муниципального задания, свободный доступ к информации о деятельности органов местного самоуправления, организация обратной связи с населением помогут обеспечить открытость власти и реализацию конституционных прав граждан на получение оперативной и достоверной информации.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Информирование населения органами власти через СМИ способствует повышению правовой культуры населения, ориентированной на формирование интереса граждан к политико-правовой жизни городского округа.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Решение программно-целевым методом задачи, обозначенной в подпрограмме 2, позволит расширить объем и спектр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округа, целью подпрограммы 2 является расширение объема и спектра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Для достижения поставленной цели требуется решение основной задачи подпрограммы 2 - усиление информационного сопровождения деятельности органов местного самоуправления.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Решение задачи будет осуществляться путем реализации мероприятий подпрограммы 2 в течение 2014 - 2026 годов.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подпрограмме 2 выделяется 2 этапа: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 этап: 2014 - 2020 годы;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II этап: 2021 - 2026 годы.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Мероприятия подпрограммы 2,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2.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D41111" w:rsidRDefault="00D41111">
      <w:pPr>
        <w:pStyle w:val="ConsPlusTitle"/>
        <w:jc w:val="center"/>
      </w:pPr>
      <w:r>
        <w:t>описание основных мероприятий подпрограммы 2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Достижение цели и решение задачи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2 представлена в </w:t>
      </w:r>
      <w:hyperlink w:anchor="P604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По итогам реализации подпрограммы 2 ожидается достижение следующих конечных результатов: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1.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2. Повышение уровня доведенной до сведения жителей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Источником ресурсного обеспечения подпрограммы 2 являются средства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2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067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1"/>
      </w:pPr>
      <w:bookmarkStart w:id="3" w:name="P505"/>
      <w:bookmarkEnd w:id="3"/>
      <w:r>
        <w:t>Подпрограмма</w:t>
      </w:r>
    </w:p>
    <w:p w:rsidR="00D41111" w:rsidRDefault="00D41111">
      <w:pPr>
        <w:pStyle w:val="ConsPlusTitle"/>
        <w:jc w:val="center"/>
      </w:pPr>
      <w:r>
        <w:t>"Кадровая политика в сфере развития информационного</w:t>
      </w:r>
    </w:p>
    <w:p w:rsidR="00D41111" w:rsidRDefault="00D41111">
      <w:pPr>
        <w:pStyle w:val="ConsPlusTitle"/>
        <w:jc w:val="center"/>
      </w:pPr>
      <w:r>
        <w:t xml:space="preserve">пространства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Title"/>
        <w:jc w:val="center"/>
      </w:pPr>
      <w:r>
        <w:t>Белгородской области"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Паспорт подпрограммы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 (далее - подпрограмма 3)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Ответственный исполнитель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Повышение профессионального мастерства сотрудников редакций СМИ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2014 - 2026 годы</w:t>
            </w:r>
          </w:p>
          <w:p w:rsidR="00D41111" w:rsidRDefault="00D41111">
            <w:pPr>
              <w:pStyle w:val="ConsPlusNormal"/>
              <w:jc w:val="both"/>
            </w:pPr>
            <w:r>
              <w:t>I этап: 2014 - 2020 годы</w:t>
            </w:r>
          </w:p>
          <w:p w:rsidR="00D41111" w:rsidRDefault="00D41111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D41111" w:rsidRDefault="00D41111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  <w:tcBorders>
              <w:bottom w:val="nil"/>
            </w:tcBorders>
          </w:tcPr>
          <w:p w:rsidR="00D41111" w:rsidRDefault="00D41111">
            <w:pPr>
              <w:pStyle w:val="ConsPlusNormal"/>
            </w:pPr>
            <w:r>
              <w:t xml:space="preserve">Объем бюджетных ассигнований подпрограммы 3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  <w:tcBorders>
              <w:bottom w:val="nil"/>
            </w:tcBorders>
          </w:tcPr>
          <w:p w:rsidR="002936D1" w:rsidRDefault="002936D1" w:rsidP="002936D1">
            <w:pPr>
              <w:pStyle w:val="ConsPlusNormal"/>
              <w:jc w:val="both"/>
            </w:pPr>
            <w:r>
              <w:t>Общий объем финансирования мероприятий подпрограммы 3 на   I   этапе   составляет 212 тыс. рублей.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 xml:space="preserve">Финансирование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составляет 212 тыс. рублей, в том числе по годам: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2014 год — 12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2015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2016 год — 75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2017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2018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2019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2020 год — 25 тыс. рублей.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Общий объем финансирования мероприятий подпрограммы 3 на II этапе составляет 124 тыс. рублей.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 xml:space="preserve">Финансирование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составляет 124 тыс. рублей, в том числе по годам: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2021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2022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2023 год — 24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2024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2025 год — 25 тыс. рублей;</w:t>
            </w:r>
          </w:p>
          <w:p w:rsidR="002936D1" w:rsidRDefault="002936D1" w:rsidP="002936D1">
            <w:pPr>
              <w:pStyle w:val="ConsPlusNormal"/>
              <w:jc w:val="both"/>
            </w:pPr>
            <w:r>
              <w:t>2026 год — 0 тыс. рублей.</w:t>
            </w:r>
          </w:p>
          <w:p w:rsidR="00D41111" w:rsidRDefault="002936D1" w:rsidP="002936D1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</w:t>
            </w:r>
            <w:r>
              <w:t xml:space="preserve">очнению при        формировании </w:t>
            </w:r>
            <w:r>
              <w:t>бюджета на соответствующий финансовый год</w:t>
            </w:r>
          </w:p>
        </w:tc>
      </w:tr>
      <w:tr w:rsidR="00D41111">
        <w:tblPrEx>
          <w:tblBorders>
            <w:insideH w:val="nil"/>
          </w:tblBorders>
        </w:tblPrEx>
        <w:tc>
          <w:tcPr>
            <w:tcW w:w="9024" w:type="dxa"/>
            <w:gridSpan w:val="3"/>
            <w:tcBorders>
              <w:top w:val="nil"/>
            </w:tcBorders>
          </w:tcPr>
          <w:p w:rsidR="00D41111" w:rsidRDefault="00D41111">
            <w:pPr>
              <w:pStyle w:val="ConsPlusNormal"/>
              <w:jc w:val="both"/>
            </w:pPr>
            <w:r>
              <w:t>(</w:t>
            </w:r>
            <w:bookmarkStart w:id="4" w:name="_GoBack"/>
            <w:r>
              <w:t>п.</w:t>
            </w:r>
            <w:bookmarkEnd w:id="4"/>
            <w:r>
              <w:t xml:space="preserve"> 6 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</w:t>
            </w:r>
            <w:r w:rsidR="002936D1" w:rsidRPr="002936D1">
              <w:t>от 19.03.2024 N 325-па</w:t>
            </w:r>
            <w:r>
              <w:t>)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Показатель конечных результатов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D41111">
        <w:tc>
          <w:tcPr>
            <w:tcW w:w="454" w:type="dxa"/>
          </w:tcPr>
          <w:p w:rsidR="00D41111" w:rsidRDefault="00D41111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D41111" w:rsidRDefault="00D41111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359" w:type="dxa"/>
          </w:tcPr>
          <w:p w:rsidR="00D41111" w:rsidRDefault="00D41111">
            <w:pPr>
              <w:pStyle w:val="ConsPlusNormal"/>
              <w:jc w:val="both"/>
            </w:pPr>
            <w:r>
              <w:t>К концу 2026 года:</w:t>
            </w:r>
          </w:p>
          <w:p w:rsidR="00D41111" w:rsidRDefault="00D41111">
            <w:pPr>
              <w:pStyle w:val="ConsPlusNormal"/>
              <w:jc w:val="both"/>
            </w:pPr>
            <w:r>
              <w:t>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D41111" w:rsidRDefault="00D41111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В редакциях СМИ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Все это позволит достичь общей цели Программы: расширить объем и спектр предоставляемой населению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Для достижения поставленной цели требуется решение основной задачи подпрограммы 3 - повышение профессионального мастерства сотрудников редакций СМИ.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Решение обозначенной задачи будет осуществляться путем реализации мероприятий подпрограммы 3 в течение 2014 - 2026 годов.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В подпрограмме 3 выделяется два этапа: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 этап: 2014 - 2020 годы;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II этап: 2021 - 2026 годы.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D41111" w:rsidRDefault="00D41111">
      <w:pPr>
        <w:pStyle w:val="ConsPlusTitle"/>
        <w:jc w:val="center"/>
      </w:pPr>
      <w:r>
        <w:t>описание основных мероприятий подпрограммы 3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Достижение цели и решение задачи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ind w:firstLine="540"/>
        <w:jc w:val="both"/>
      </w:pPr>
      <w:r>
        <w:t xml:space="preserve">Источником ресурсного обеспечения подпрограммы 3 являются средства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по годам представлены в </w:t>
      </w:r>
      <w:hyperlink w:anchor="P1067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D41111" w:rsidRDefault="00D41111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1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5" w:name="P604"/>
      <w:bookmarkEnd w:id="5"/>
      <w:r>
        <w:t>Система основных мероприятий и показателей муниципальной</w:t>
      </w:r>
    </w:p>
    <w:p w:rsidR="00D41111" w:rsidRDefault="00D41111">
      <w:pPr>
        <w:pStyle w:val="ConsPlusTitle"/>
        <w:jc w:val="center"/>
      </w:pPr>
      <w:r>
        <w:t xml:space="preserve">программы "Обеспечение населения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D41111" w:rsidRDefault="00D41111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D41111" w:rsidRDefault="00D41111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D41111" w:rsidRDefault="00D41111">
      <w:pPr>
        <w:pStyle w:val="ConsPlusTitle"/>
        <w:jc w:val="center"/>
      </w:pPr>
      <w:r>
        <w:t>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sectPr w:rsidR="00D41111" w:rsidSect="006013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685"/>
        <w:gridCol w:w="604"/>
        <w:gridCol w:w="604"/>
        <w:gridCol w:w="604"/>
        <w:gridCol w:w="604"/>
        <w:gridCol w:w="604"/>
        <w:gridCol w:w="604"/>
        <w:gridCol w:w="604"/>
      </w:tblGrid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685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D41111" w:rsidRDefault="00D41111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11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Муниципальная программа 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4.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2886" w:type="dxa"/>
            <w:gridSpan w:val="10"/>
          </w:tcPr>
          <w:p w:rsidR="00D41111" w:rsidRDefault="00D41111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1.1.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предоставляемых муниципальным бюджетным и автономным учреждениям"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самоуправления, в общем объеме тиража,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</w:t>
            </w:r>
          </w:p>
          <w:p w:rsidR="00D41111" w:rsidRDefault="00D41111">
            <w:pPr>
              <w:pStyle w:val="ConsPlusNormal"/>
              <w:jc w:val="center"/>
            </w:pPr>
            <w:r>
              <w:t>Уровень доведенной до сведения жителей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Губкинского</w:t>
            </w:r>
            <w:proofErr w:type="spellEnd"/>
            <w:r>
              <w:t xml:space="preserve">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2886" w:type="dxa"/>
            <w:gridSpan w:val="10"/>
          </w:tcPr>
          <w:p w:rsidR="00D41111" w:rsidRDefault="00D41111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2.1.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полос формата A3 в еженедельнике "Эфир Губкина"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2.1.2.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полос формата A3 в приложении "Муниципальный вестник" к газете "Эфир Губкина"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1590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2.1.3.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3000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2.1.4.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минут на телевидении "Губкин-ТВ"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2.1.5.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телепередач, часов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2.2. 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2.2.2.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местного самоуправления и иной</w:t>
            </w:r>
          </w:p>
          <w:p w:rsidR="00D41111" w:rsidRDefault="00D41111">
            <w:pPr>
              <w:pStyle w:val="ConsPlusNormal"/>
              <w:jc w:val="center"/>
            </w:pPr>
            <w:r>
              <w:t>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2.2.3.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полос формата A3 в городской информационно-общественной газете "Новое время"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Подпрограмма 3. 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2886" w:type="dxa"/>
            <w:gridSpan w:val="10"/>
          </w:tcPr>
          <w:p w:rsidR="00D41111" w:rsidRDefault="00D41111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3.1.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364"/>
        <w:gridCol w:w="604"/>
        <w:gridCol w:w="604"/>
        <w:gridCol w:w="604"/>
        <w:gridCol w:w="604"/>
        <w:gridCol w:w="604"/>
        <w:gridCol w:w="604"/>
      </w:tblGrid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3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624" w:type="dxa"/>
            <w:gridSpan w:val="6"/>
          </w:tcPr>
          <w:p w:rsidR="00D41111" w:rsidRDefault="00D41111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2026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Муниципальная программа 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15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4.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30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91,3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961" w:type="dxa"/>
            <w:gridSpan w:val="9"/>
          </w:tcPr>
          <w:p w:rsidR="00D41111" w:rsidRDefault="00D41111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1.1.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предоставляемых муниципальным бюджетным и автономным учреждениям"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4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самоуправления, в общем объеме тиража,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15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357" w:type="dxa"/>
            <w:gridSpan w:val="8"/>
          </w:tcPr>
          <w:p w:rsidR="00D41111" w:rsidRDefault="00D41111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2.1.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2.1.2.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телепередач, часов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</w:tr>
      <w:tr w:rsidR="00D41111">
        <w:tc>
          <w:tcPr>
            <w:tcW w:w="66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2.2.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2.2.2.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45</w:t>
            </w:r>
          </w:p>
        </w:tc>
      </w:tr>
      <w:tr w:rsidR="00D41111">
        <w:tc>
          <w:tcPr>
            <w:tcW w:w="66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5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2.2.3.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полос формата A3 в городской информационно-общественной газете "Новое время"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45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Подпрограмма 3. 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30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357" w:type="dxa"/>
            <w:gridSpan w:val="8"/>
          </w:tcPr>
          <w:p w:rsidR="00D41111" w:rsidRDefault="00D41111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3.1.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3.1.1.</w:t>
            </w:r>
          </w:p>
          <w:p w:rsidR="00D41111" w:rsidRDefault="00D41111">
            <w:pPr>
              <w:pStyle w:val="ConsPlusNormal"/>
              <w:jc w:val="center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D41111" w:rsidRDefault="00081C30">
            <w:pPr>
              <w:pStyle w:val="ConsPlusNormal"/>
              <w:jc w:val="center"/>
            </w:pPr>
            <w:r>
              <w:t>0</w:t>
            </w:r>
          </w:p>
        </w:tc>
      </w:tr>
    </w:tbl>
    <w:p w:rsidR="00D41111" w:rsidRDefault="00D41111">
      <w:pPr>
        <w:pStyle w:val="ConsPlusNormal"/>
        <w:sectPr w:rsidR="00D4111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2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6" w:name="P1023"/>
      <w:bookmarkEnd w:id="6"/>
      <w:r>
        <w:t>Основные меры правового регулирования в сфере реализации</w:t>
      </w:r>
    </w:p>
    <w:p w:rsidR="00D41111" w:rsidRDefault="00D41111">
      <w:pPr>
        <w:pStyle w:val="ConsPlusTitle"/>
        <w:jc w:val="center"/>
      </w:pPr>
      <w:r>
        <w:t xml:space="preserve">муниципальной программы "Обеспечение населения </w:t>
      </w:r>
      <w:proofErr w:type="spellStart"/>
      <w:r>
        <w:t>Губкинского</w:t>
      </w:r>
      <w:proofErr w:type="spellEnd"/>
    </w:p>
    <w:p w:rsidR="00D41111" w:rsidRDefault="00D41111">
      <w:pPr>
        <w:pStyle w:val="ConsPlusTitle"/>
        <w:jc w:val="center"/>
      </w:pPr>
      <w:r>
        <w:t>городского округа Белгородской области информацией</w:t>
      </w:r>
    </w:p>
    <w:p w:rsidR="00D41111" w:rsidRDefault="00D41111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D41111" w:rsidRDefault="00D41111">
      <w:pPr>
        <w:pStyle w:val="ConsPlusTitle"/>
        <w:jc w:val="center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849"/>
        <w:gridCol w:w="2891"/>
        <w:gridCol w:w="1954"/>
        <w:gridCol w:w="1699"/>
      </w:tblGrid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</w:tcPr>
          <w:p w:rsidR="00D41111" w:rsidRDefault="00D41111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699" w:type="dxa"/>
          </w:tcPr>
          <w:p w:rsidR="00D41111" w:rsidRDefault="00D41111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3" w:type="dxa"/>
            <w:gridSpan w:val="4"/>
          </w:tcPr>
          <w:p w:rsidR="00D41111" w:rsidRDefault="00D41111">
            <w:pPr>
              <w:pStyle w:val="ConsPlusNormal"/>
              <w:jc w:val="center"/>
            </w:pPr>
            <w:r>
              <w:t xml:space="preserve">Программа 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3" w:type="dxa"/>
            <w:gridSpan w:val="4"/>
          </w:tcPr>
          <w:p w:rsidR="00D41111" w:rsidRDefault="00D41111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84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Постановление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891" w:type="dxa"/>
          </w:tcPr>
          <w:p w:rsidR="00D41111" w:rsidRDefault="00601392">
            <w:pPr>
              <w:pStyle w:val="ConsPlusNormal"/>
              <w:jc w:val="center"/>
            </w:pPr>
            <w:hyperlink r:id="rId33">
              <w:r w:rsidR="00D41111">
                <w:rPr>
                  <w:color w:val="0000FF"/>
                </w:rPr>
                <w:t>Постановлением</w:t>
              </w:r>
            </w:hyperlink>
            <w:r w:rsidR="00D41111">
              <w:t xml:space="preserve"> администрации </w:t>
            </w:r>
            <w:proofErr w:type="spellStart"/>
            <w:r w:rsidR="00D41111">
              <w:t>Губкинского</w:t>
            </w:r>
            <w:proofErr w:type="spellEnd"/>
            <w:r w:rsidR="00D41111">
              <w:t xml:space="preserve"> городского округа N 1249-па от 17 августа 2021 года "Об утверждении Порядка определения объема и условия предоставления из бюджета </w:t>
            </w:r>
            <w:proofErr w:type="spellStart"/>
            <w:r w:rsidR="00D41111">
              <w:t>Губкинского</w:t>
            </w:r>
            <w:proofErr w:type="spellEnd"/>
            <w:r w:rsidR="00D41111">
              <w:t xml:space="preserve">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</w:t>
            </w:r>
            <w:proofErr w:type="spellStart"/>
            <w:r w:rsidR="00D41111">
              <w:t>Губкинского</w:t>
            </w:r>
            <w:proofErr w:type="spellEnd"/>
            <w:r w:rsidR="00D41111">
              <w:t xml:space="preserve"> городского округа" определен порядок определения объема и предоставления субсидий местным СМИ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699" w:type="dxa"/>
          </w:tcPr>
          <w:p w:rsidR="00D41111" w:rsidRDefault="00D41111">
            <w:pPr>
              <w:pStyle w:val="ConsPlusNormal"/>
              <w:jc w:val="center"/>
            </w:pPr>
            <w:r>
              <w:t>По мере необходимости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3" w:type="dxa"/>
            <w:gridSpan w:val="4"/>
          </w:tcPr>
          <w:p w:rsidR="00D41111" w:rsidRDefault="00D41111">
            <w:pPr>
              <w:pStyle w:val="ConsPlusNormal"/>
              <w:jc w:val="center"/>
            </w:pPr>
            <w:r>
              <w:t xml:space="preserve">Подпрограмма 3 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</w:tr>
      <w:tr w:rsidR="00D41111">
        <w:tc>
          <w:tcPr>
            <w:tcW w:w="664" w:type="dxa"/>
          </w:tcPr>
          <w:p w:rsidR="00D41111" w:rsidRDefault="00D41111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84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Постановление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О проведении мероприятий и конкурсов</w:t>
            </w:r>
          </w:p>
        </w:tc>
        <w:tc>
          <w:tcPr>
            <w:tcW w:w="195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699" w:type="dxa"/>
          </w:tcPr>
          <w:p w:rsidR="00D41111" w:rsidRDefault="00D41111">
            <w:pPr>
              <w:pStyle w:val="ConsPlusNormal"/>
              <w:jc w:val="center"/>
            </w:pPr>
            <w:r>
              <w:t>По мере необходимости проведения мероприятий и конкурсов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3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7" w:name="P1067"/>
      <w:bookmarkEnd w:id="7"/>
      <w:r>
        <w:t>Ресурсное обеспечение и прогнозная (справочная) оценка</w:t>
      </w:r>
    </w:p>
    <w:p w:rsidR="00D41111" w:rsidRDefault="00D41111">
      <w:pPr>
        <w:pStyle w:val="ConsPlusTitle"/>
        <w:jc w:val="center"/>
      </w:pPr>
      <w:r>
        <w:t>расходов на реализацию мероприятий муниципальной программы</w:t>
      </w:r>
    </w:p>
    <w:p w:rsidR="00D41111" w:rsidRDefault="00D41111">
      <w:pPr>
        <w:pStyle w:val="ConsPlusTitle"/>
        <w:jc w:val="center"/>
      </w:pPr>
      <w:r>
        <w:t xml:space="preserve">"Обеспечение 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D41111" w:rsidRDefault="00D41111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D41111" w:rsidRDefault="00D41111">
      <w:pPr>
        <w:pStyle w:val="ConsPlusTitle"/>
        <w:jc w:val="center"/>
      </w:pPr>
      <w:r>
        <w:t>массовой информации" из различных источников финансирования</w:t>
      </w:r>
    </w:p>
    <w:p w:rsidR="00D41111" w:rsidRDefault="00D411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411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22.12.2023 N 1823-па)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sectPr w:rsidR="00D41111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3019"/>
        <w:gridCol w:w="1909"/>
        <w:gridCol w:w="904"/>
        <w:gridCol w:w="904"/>
        <w:gridCol w:w="724"/>
        <w:gridCol w:w="904"/>
        <w:gridCol w:w="904"/>
        <w:gridCol w:w="724"/>
        <w:gridCol w:w="724"/>
      </w:tblGrid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5788" w:type="dxa"/>
            <w:gridSpan w:val="7"/>
          </w:tcPr>
          <w:p w:rsidR="00D41111" w:rsidRDefault="00D41111">
            <w:pPr>
              <w:pStyle w:val="ConsPlusNormal"/>
              <w:jc w:val="center"/>
            </w:pPr>
            <w:r>
              <w:t>Оценка расходов на I этап реализации программы</w:t>
            </w:r>
          </w:p>
          <w:p w:rsidR="00D41111" w:rsidRDefault="00D41111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2020</w:t>
            </w:r>
          </w:p>
        </w:tc>
      </w:tr>
      <w:tr w:rsidR="00D41111">
        <w:tc>
          <w:tcPr>
            <w:tcW w:w="162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Программа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24875,9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24121,3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22829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22561,2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23433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22698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24124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20624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14069,5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13678,3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6037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3500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482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317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482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317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23710,7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23285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22278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22133,2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22978,4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22251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23617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20434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3183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22967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21953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21229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21598,2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22453,4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21721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23062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19879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3183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555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555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D41111" w:rsidRDefault="00D41111">
      <w:pPr>
        <w:pStyle w:val="ConsPlusNormal"/>
        <w:jc w:val="center"/>
      </w:pPr>
    </w:p>
    <w:p w:rsidR="00D41111" w:rsidRDefault="00D41111">
      <w:pPr>
        <w:pStyle w:val="ConsPlusNormal"/>
        <w:jc w:val="center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D41111" w:rsidRDefault="00D41111">
      <w:pPr>
        <w:pStyle w:val="ConsPlusNormal"/>
        <w:jc w:val="center"/>
      </w:pPr>
      <w:r>
        <w:t>округа Белгородской области от 22.12.2023 N 1823-па)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3019"/>
        <w:gridCol w:w="1909"/>
        <w:gridCol w:w="904"/>
        <w:gridCol w:w="724"/>
        <w:gridCol w:w="724"/>
        <w:gridCol w:w="724"/>
        <w:gridCol w:w="724"/>
        <w:gridCol w:w="724"/>
      </w:tblGrid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4524" w:type="dxa"/>
            <w:gridSpan w:val="6"/>
          </w:tcPr>
          <w:p w:rsidR="00D41111" w:rsidRDefault="00D41111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2026</w:t>
            </w:r>
          </w:p>
        </w:tc>
      </w:tr>
      <w:tr w:rsidR="00D41111">
        <w:tc>
          <w:tcPr>
            <w:tcW w:w="1624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</w:tr>
      <w:tr w:rsidR="00081C30">
        <w:tc>
          <w:tcPr>
            <w:tcW w:w="1624" w:type="dxa"/>
            <w:vMerge w:val="restart"/>
          </w:tcPr>
          <w:p w:rsidR="00081C30" w:rsidRDefault="00081C30" w:rsidP="00081C30">
            <w:pPr>
              <w:pStyle w:val="ConsPlusNormal"/>
              <w:jc w:val="center"/>
            </w:pPr>
            <w:r>
              <w:t>Программа</w:t>
            </w:r>
          </w:p>
        </w:tc>
        <w:tc>
          <w:tcPr>
            <w:tcW w:w="3019" w:type="dxa"/>
            <w:vMerge w:val="restart"/>
          </w:tcPr>
          <w:p w:rsidR="00081C30" w:rsidRDefault="00081C30" w:rsidP="00081C30">
            <w:pPr>
              <w:pStyle w:val="ConsPlusNormal"/>
              <w:jc w:val="center"/>
            </w:pPr>
            <w:r>
              <w:t xml:space="preserve">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26709,5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27764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29801</w:t>
            </w:r>
          </w:p>
        </w:tc>
        <w:tc>
          <w:tcPr>
            <w:tcW w:w="724" w:type="dxa"/>
          </w:tcPr>
          <w:p w:rsidR="00081C30" w:rsidRPr="001358B4" w:rsidRDefault="00081C30" w:rsidP="00081C30">
            <w:r w:rsidRPr="001358B4">
              <w:t>31270</w:t>
            </w:r>
          </w:p>
        </w:tc>
        <w:tc>
          <w:tcPr>
            <w:tcW w:w="724" w:type="dxa"/>
          </w:tcPr>
          <w:p w:rsidR="00081C30" w:rsidRPr="001358B4" w:rsidRDefault="00081C30" w:rsidP="00081C30">
            <w:r w:rsidRPr="001358B4">
              <w:t>31818</w:t>
            </w:r>
          </w:p>
        </w:tc>
        <w:tc>
          <w:tcPr>
            <w:tcW w:w="724" w:type="dxa"/>
          </w:tcPr>
          <w:p w:rsidR="00081C30" w:rsidRDefault="00081C30" w:rsidP="00081C30">
            <w:r w:rsidRPr="001358B4">
              <w:t>29119</w:t>
            </w:r>
          </w:p>
        </w:tc>
      </w:tr>
      <w:tr w:rsidR="00081C30">
        <w:tc>
          <w:tcPr>
            <w:tcW w:w="1624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3019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1909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24364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26001</w:t>
            </w:r>
          </w:p>
        </w:tc>
        <w:tc>
          <w:tcPr>
            <w:tcW w:w="724" w:type="dxa"/>
          </w:tcPr>
          <w:p w:rsidR="00081C30" w:rsidRPr="00930561" w:rsidRDefault="00081C30" w:rsidP="00081C30">
            <w:r w:rsidRPr="00930561">
              <w:t>27470</w:t>
            </w:r>
          </w:p>
        </w:tc>
        <w:tc>
          <w:tcPr>
            <w:tcW w:w="724" w:type="dxa"/>
          </w:tcPr>
          <w:p w:rsidR="00081C30" w:rsidRPr="00930561" w:rsidRDefault="00081C30" w:rsidP="00081C30">
            <w:r w:rsidRPr="00930561">
              <w:t>28018</w:t>
            </w:r>
          </w:p>
        </w:tc>
        <w:tc>
          <w:tcPr>
            <w:tcW w:w="724" w:type="dxa"/>
          </w:tcPr>
          <w:p w:rsidR="00081C30" w:rsidRDefault="00081C30" w:rsidP="00081C30">
            <w:r w:rsidRPr="00930561">
              <w:t>25319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081C30">
        <w:tc>
          <w:tcPr>
            <w:tcW w:w="1624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3019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1909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3577,5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3400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3800</w:t>
            </w:r>
          </w:p>
        </w:tc>
        <w:tc>
          <w:tcPr>
            <w:tcW w:w="724" w:type="dxa"/>
          </w:tcPr>
          <w:p w:rsidR="00081C30" w:rsidRPr="00106FA9" w:rsidRDefault="00081C30" w:rsidP="00081C30">
            <w:r w:rsidRPr="00106FA9">
              <w:t>3800</w:t>
            </w:r>
          </w:p>
        </w:tc>
        <w:tc>
          <w:tcPr>
            <w:tcW w:w="724" w:type="dxa"/>
          </w:tcPr>
          <w:p w:rsidR="00081C30" w:rsidRPr="00106FA9" w:rsidRDefault="00081C30" w:rsidP="00081C30">
            <w:r w:rsidRPr="00106FA9">
              <w:t>3800</w:t>
            </w:r>
          </w:p>
        </w:tc>
        <w:tc>
          <w:tcPr>
            <w:tcW w:w="724" w:type="dxa"/>
          </w:tcPr>
          <w:p w:rsidR="00081C30" w:rsidRDefault="00081C30" w:rsidP="00081C30">
            <w:r w:rsidRPr="00106FA9">
              <w:t>3800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300</w:t>
            </w:r>
          </w:p>
        </w:tc>
      </w:tr>
      <w:tr w:rsidR="00081C30">
        <w:tc>
          <w:tcPr>
            <w:tcW w:w="1624" w:type="dxa"/>
            <w:vMerge w:val="restart"/>
          </w:tcPr>
          <w:p w:rsidR="00081C30" w:rsidRDefault="00081C30" w:rsidP="00081C3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081C30" w:rsidRDefault="00081C30" w:rsidP="00081C3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09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25736,5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27439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28977</w:t>
            </w:r>
          </w:p>
        </w:tc>
        <w:tc>
          <w:tcPr>
            <w:tcW w:w="724" w:type="dxa"/>
          </w:tcPr>
          <w:p w:rsidR="00081C30" w:rsidRPr="00E028AE" w:rsidRDefault="00081C30" w:rsidP="00081C30">
            <w:r w:rsidRPr="00E028AE">
              <w:t>30945</w:t>
            </w:r>
          </w:p>
        </w:tc>
        <w:tc>
          <w:tcPr>
            <w:tcW w:w="724" w:type="dxa"/>
          </w:tcPr>
          <w:p w:rsidR="00081C30" w:rsidRPr="00E028AE" w:rsidRDefault="00081C30" w:rsidP="00081C30">
            <w:r w:rsidRPr="00E028AE">
              <w:t>31493</w:t>
            </w:r>
          </w:p>
        </w:tc>
        <w:tc>
          <w:tcPr>
            <w:tcW w:w="724" w:type="dxa"/>
          </w:tcPr>
          <w:p w:rsidR="00081C30" w:rsidRPr="00E028AE" w:rsidRDefault="00081C30" w:rsidP="00081C30">
            <w:r w:rsidRPr="00E028AE">
              <w:t>28819</w:t>
            </w:r>
          </w:p>
        </w:tc>
      </w:tr>
      <w:tr w:rsidR="00081C30">
        <w:tc>
          <w:tcPr>
            <w:tcW w:w="1624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3019" w:type="dxa"/>
            <w:vMerge/>
          </w:tcPr>
          <w:p w:rsidR="00081C30" w:rsidRDefault="00081C30" w:rsidP="00081C30">
            <w:pPr>
              <w:pStyle w:val="ConsPlusNormal"/>
            </w:pPr>
          </w:p>
        </w:tc>
        <w:tc>
          <w:tcPr>
            <w:tcW w:w="1909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24339</w:t>
            </w:r>
          </w:p>
        </w:tc>
        <w:tc>
          <w:tcPr>
            <w:tcW w:w="724" w:type="dxa"/>
          </w:tcPr>
          <w:p w:rsidR="00081C30" w:rsidRDefault="00081C30" w:rsidP="00081C30">
            <w:pPr>
              <w:pStyle w:val="ConsPlusNormal"/>
              <w:jc w:val="center"/>
            </w:pPr>
            <w:r>
              <w:t>25477</w:t>
            </w:r>
          </w:p>
        </w:tc>
        <w:tc>
          <w:tcPr>
            <w:tcW w:w="724" w:type="dxa"/>
          </w:tcPr>
          <w:p w:rsidR="00081C30" w:rsidRPr="00E028AE" w:rsidRDefault="00081C30" w:rsidP="00081C30">
            <w:r w:rsidRPr="00E028AE">
              <w:t>27445</w:t>
            </w:r>
          </w:p>
        </w:tc>
        <w:tc>
          <w:tcPr>
            <w:tcW w:w="724" w:type="dxa"/>
          </w:tcPr>
          <w:p w:rsidR="00081C30" w:rsidRPr="00E028AE" w:rsidRDefault="00081C30" w:rsidP="00081C30">
            <w:r w:rsidRPr="00E028AE">
              <w:t>27993</w:t>
            </w:r>
          </w:p>
        </w:tc>
        <w:tc>
          <w:tcPr>
            <w:tcW w:w="724" w:type="dxa"/>
          </w:tcPr>
          <w:p w:rsidR="00081C30" w:rsidRDefault="00081C30" w:rsidP="00081C30">
            <w:r w:rsidRPr="00E028AE">
              <w:t>25319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027604">
        <w:tc>
          <w:tcPr>
            <w:tcW w:w="1624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3100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724" w:type="dxa"/>
          </w:tcPr>
          <w:p w:rsidR="00027604" w:rsidRPr="00015D91" w:rsidRDefault="00027604" w:rsidP="00027604">
            <w:r w:rsidRPr="00015D91">
              <w:t>3500</w:t>
            </w:r>
          </w:p>
        </w:tc>
        <w:tc>
          <w:tcPr>
            <w:tcW w:w="724" w:type="dxa"/>
          </w:tcPr>
          <w:p w:rsidR="00027604" w:rsidRPr="00015D91" w:rsidRDefault="00027604" w:rsidP="00027604">
            <w:r w:rsidRPr="00015D91">
              <w:t>3500</w:t>
            </w:r>
          </w:p>
        </w:tc>
        <w:tc>
          <w:tcPr>
            <w:tcW w:w="724" w:type="dxa"/>
          </w:tcPr>
          <w:p w:rsidR="00027604" w:rsidRDefault="00027604" w:rsidP="00027604">
            <w:r w:rsidRPr="00015D91">
              <w:t>3500</w:t>
            </w:r>
          </w:p>
        </w:tc>
      </w:tr>
      <w:tr w:rsidR="00027604">
        <w:tc>
          <w:tcPr>
            <w:tcW w:w="1624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25087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26719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27677</w:t>
            </w:r>
          </w:p>
        </w:tc>
        <w:tc>
          <w:tcPr>
            <w:tcW w:w="724" w:type="dxa"/>
          </w:tcPr>
          <w:p w:rsidR="00027604" w:rsidRPr="001D7305" w:rsidRDefault="00027604" w:rsidP="00027604">
            <w:r w:rsidRPr="001D7305">
              <w:t>29447</w:t>
            </w:r>
          </w:p>
        </w:tc>
        <w:tc>
          <w:tcPr>
            <w:tcW w:w="724" w:type="dxa"/>
          </w:tcPr>
          <w:p w:rsidR="00027604" w:rsidRPr="001D7305" w:rsidRDefault="00027604" w:rsidP="00027604">
            <w:r w:rsidRPr="001D7305">
              <w:t>30493</w:t>
            </w:r>
          </w:p>
        </w:tc>
        <w:tc>
          <w:tcPr>
            <w:tcW w:w="724" w:type="dxa"/>
          </w:tcPr>
          <w:p w:rsidR="00027604" w:rsidRPr="001D7305" w:rsidRDefault="00027604" w:rsidP="00027604">
            <w:r w:rsidRPr="001D7305">
              <w:t>28819</w:t>
            </w:r>
          </w:p>
        </w:tc>
      </w:tr>
      <w:tr w:rsidR="00027604">
        <w:tc>
          <w:tcPr>
            <w:tcW w:w="1624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23619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24177</w:t>
            </w:r>
          </w:p>
        </w:tc>
        <w:tc>
          <w:tcPr>
            <w:tcW w:w="724" w:type="dxa"/>
          </w:tcPr>
          <w:p w:rsidR="00027604" w:rsidRPr="001D7305" w:rsidRDefault="00027604" w:rsidP="00027604">
            <w:r w:rsidRPr="001D7305">
              <w:t>25947</w:t>
            </w:r>
          </w:p>
        </w:tc>
        <w:tc>
          <w:tcPr>
            <w:tcW w:w="724" w:type="dxa"/>
          </w:tcPr>
          <w:p w:rsidR="00027604" w:rsidRPr="001D7305" w:rsidRDefault="00027604" w:rsidP="00027604">
            <w:r w:rsidRPr="001D7305">
              <w:t>26993</w:t>
            </w:r>
          </w:p>
        </w:tc>
        <w:tc>
          <w:tcPr>
            <w:tcW w:w="724" w:type="dxa"/>
          </w:tcPr>
          <w:p w:rsidR="00027604" w:rsidRDefault="00027604" w:rsidP="00027604">
            <w:r w:rsidRPr="001D7305">
              <w:t>25319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027604">
        <w:tc>
          <w:tcPr>
            <w:tcW w:w="1624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3100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3500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3500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3500</w:t>
            </w:r>
          </w:p>
        </w:tc>
      </w:tr>
      <w:tr w:rsidR="00027604">
        <w:tc>
          <w:tcPr>
            <w:tcW w:w="1624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1498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1000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0</w:t>
            </w:r>
          </w:p>
        </w:tc>
      </w:tr>
      <w:tr w:rsidR="00027604">
        <w:tc>
          <w:tcPr>
            <w:tcW w:w="1624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90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1498</w:t>
            </w:r>
          </w:p>
        </w:tc>
        <w:tc>
          <w:tcPr>
            <w:tcW w:w="724" w:type="dxa"/>
          </w:tcPr>
          <w:p w:rsidR="00027604" w:rsidRPr="00B05AFF" w:rsidRDefault="00027604" w:rsidP="00027604">
            <w:r w:rsidRPr="00B05AFF">
              <w:t>1000</w:t>
            </w:r>
          </w:p>
        </w:tc>
        <w:tc>
          <w:tcPr>
            <w:tcW w:w="724" w:type="dxa"/>
          </w:tcPr>
          <w:p w:rsidR="00027604" w:rsidRDefault="00027604" w:rsidP="00027604">
            <w:r w:rsidRPr="00B05AFF"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  <w:tr w:rsidR="00D41111">
        <w:tc>
          <w:tcPr>
            <w:tcW w:w="162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909" w:type="dxa"/>
          </w:tcPr>
          <w:p w:rsidR="00D41111" w:rsidRDefault="00D41111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724" w:type="dxa"/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sectPr w:rsidR="00D4111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4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8" w:name="P1890"/>
      <w:bookmarkEnd w:id="8"/>
      <w:r>
        <w:t>Ресурсное обеспечение реализации муниципальной программы</w:t>
      </w:r>
    </w:p>
    <w:p w:rsidR="00D41111" w:rsidRDefault="00D41111">
      <w:pPr>
        <w:pStyle w:val="ConsPlusTitle"/>
        <w:jc w:val="center"/>
      </w:pPr>
      <w:r>
        <w:t xml:space="preserve">"Обеспечение 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D41111" w:rsidRDefault="00D41111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D41111" w:rsidRDefault="00D41111">
      <w:pPr>
        <w:pStyle w:val="ConsPlusTitle"/>
        <w:jc w:val="center"/>
      </w:pPr>
      <w:r>
        <w:t xml:space="preserve">массовой информации" за счет средств бюджета </w:t>
      </w:r>
      <w:proofErr w:type="spellStart"/>
      <w:r>
        <w:t>Губкинского</w:t>
      </w:r>
      <w:proofErr w:type="spellEnd"/>
    </w:p>
    <w:p w:rsidR="00D41111" w:rsidRDefault="00D41111">
      <w:pPr>
        <w:pStyle w:val="ConsPlusTitle"/>
        <w:jc w:val="center"/>
      </w:pPr>
      <w:r>
        <w:t>городского округа Белгородской области</w:t>
      </w:r>
    </w:p>
    <w:p w:rsidR="00D41111" w:rsidRDefault="00D411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D411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D41111" w:rsidRDefault="00D41111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22.12.2023 N 1823-па)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111" w:rsidRDefault="00D41111">
            <w:pPr>
              <w:pStyle w:val="ConsPlusNormal"/>
            </w:pP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551"/>
        <w:gridCol w:w="1774"/>
        <w:gridCol w:w="694"/>
        <w:gridCol w:w="1324"/>
        <w:gridCol w:w="904"/>
        <w:gridCol w:w="724"/>
        <w:gridCol w:w="724"/>
        <w:gridCol w:w="904"/>
        <w:gridCol w:w="724"/>
        <w:gridCol w:w="724"/>
        <w:gridCol w:w="724"/>
      </w:tblGrid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D41111" w:rsidRDefault="00D411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428" w:type="dxa"/>
            <w:gridSpan w:val="7"/>
          </w:tcPr>
          <w:p w:rsidR="00D41111" w:rsidRDefault="00D41111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D41111" w:rsidRDefault="00D41111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2020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20624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15605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16051,2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20624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165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165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2551" w:type="dxa"/>
          </w:tcPr>
          <w:p w:rsidR="00D41111" w:rsidRDefault="00D41111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165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20434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15315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15876,2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20434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2551" w:type="dxa"/>
          </w:tcPr>
          <w:p w:rsidR="00D41111" w:rsidRDefault="00D41111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19879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555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2551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2551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0830000000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2551" w:type="dxa"/>
          </w:tcPr>
          <w:p w:rsidR="00D41111" w:rsidRDefault="00D41111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D41111" w:rsidRDefault="00D41111">
      <w:pPr>
        <w:pStyle w:val="ConsPlusNormal"/>
        <w:jc w:val="center"/>
      </w:pPr>
    </w:p>
    <w:p w:rsidR="00D41111" w:rsidRDefault="00D41111">
      <w:pPr>
        <w:pStyle w:val="ConsPlusNormal"/>
        <w:jc w:val="center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D41111" w:rsidRDefault="00D41111">
      <w:pPr>
        <w:pStyle w:val="ConsPlusNormal"/>
        <w:jc w:val="center"/>
      </w:pPr>
      <w:r>
        <w:t>округа Белгородской области от 22.12.2023 N 1823-па)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24"/>
        <w:gridCol w:w="904"/>
        <w:gridCol w:w="724"/>
        <w:gridCol w:w="724"/>
        <w:gridCol w:w="724"/>
        <w:gridCol w:w="724"/>
        <w:gridCol w:w="724"/>
      </w:tblGrid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D41111" w:rsidRDefault="00D411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524" w:type="dxa"/>
            <w:gridSpan w:val="6"/>
          </w:tcPr>
          <w:p w:rsidR="00D41111" w:rsidRDefault="00D41111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2026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11</w:t>
            </w:r>
          </w:p>
        </w:tc>
      </w:tr>
      <w:tr w:rsidR="00027604">
        <w:tc>
          <w:tcPr>
            <w:tcW w:w="178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301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24364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26001</w:t>
            </w:r>
          </w:p>
        </w:tc>
        <w:tc>
          <w:tcPr>
            <w:tcW w:w="724" w:type="dxa"/>
          </w:tcPr>
          <w:p w:rsidR="00027604" w:rsidRPr="0050033D" w:rsidRDefault="00027604" w:rsidP="00027604">
            <w:r w:rsidRPr="0050033D">
              <w:t>27470</w:t>
            </w:r>
          </w:p>
        </w:tc>
        <w:tc>
          <w:tcPr>
            <w:tcW w:w="724" w:type="dxa"/>
          </w:tcPr>
          <w:p w:rsidR="00027604" w:rsidRPr="0050033D" w:rsidRDefault="00027604" w:rsidP="00027604">
            <w:r w:rsidRPr="0050033D">
              <w:t>28018</w:t>
            </w:r>
          </w:p>
        </w:tc>
        <w:tc>
          <w:tcPr>
            <w:tcW w:w="724" w:type="dxa"/>
          </w:tcPr>
          <w:p w:rsidR="00027604" w:rsidRPr="0050033D" w:rsidRDefault="00027604" w:rsidP="00027604">
            <w:r w:rsidRPr="0050033D">
              <w:t>25319</w:t>
            </w:r>
          </w:p>
        </w:tc>
      </w:tr>
      <w:tr w:rsidR="00027604">
        <w:tc>
          <w:tcPr>
            <w:tcW w:w="178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24364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26001</w:t>
            </w:r>
          </w:p>
        </w:tc>
        <w:tc>
          <w:tcPr>
            <w:tcW w:w="724" w:type="dxa"/>
          </w:tcPr>
          <w:p w:rsidR="00027604" w:rsidRPr="0050033D" w:rsidRDefault="00027604" w:rsidP="00027604">
            <w:r w:rsidRPr="0050033D">
              <w:t>27470</w:t>
            </w:r>
          </w:p>
        </w:tc>
        <w:tc>
          <w:tcPr>
            <w:tcW w:w="724" w:type="dxa"/>
          </w:tcPr>
          <w:p w:rsidR="00027604" w:rsidRPr="0050033D" w:rsidRDefault="00027604" w:rsidP="00027604">
            <w:r w:rsidRPr="0050033D">
              <w:t>28018</w:t>
            </w:r>
          </w:p>
        </w:tc>
        <w:tc>
          <w:tcPr>
            <w:tcW w:w="724" w:type="dxa"/>
          </w:tcPr>
          <w:p w:rsidR="00027604" w:rsidRDefault="00027604" w:rsidP="00027604">
            <w:r w:rsidRPr="0050033D">
              <w:t>25319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0</w:t>
            </w:r>
          </w:p>
        </w:tc>
      </w:tr>
      <w:tr w:rsidR="00027604">
        <w:tc>
          <w:tcPr>
            <w:tcW w:w="178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027604" w:rsidRDefault="00027604" w:rsidP="00027604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24339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25477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27445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27993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25319</w:t>
            </w:r>
          </w:p>
        </w:tc>
      </w:tr>
      <w:tr w:rsidR="00027604">
        <w:tc>
          <w:tcPr>
            <w:tcW w:w="178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3019" w:type="dxa"/>
            <w:vMerge/>
          </w:tcPr>
          <w:p w:rsidR="00027604" w:rsidRDefault="00027604" w:rsidP="00027604">
            <w:pPr>
              <w:pStyle w:val="ConsPlusNormal"/>
            </w:pP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24339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25477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27445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27993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25319</w:t>
            </w:r>
          </w:p>
        </w:tc>
      </w:tr>
      <w:tr w:rsidR="00027604">
        <w:tc>
          <w:tcPr>
            <w:tcW w:w="178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23619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24177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25947</w:t>
            </w:r>
          </w:p>
        </w:tc>
        <w:tc>
          <w:tcPr>
            <w:tcW w:w="724" w:type="dxa"/>
          </w:tcPr>
          <w:p w:rsidR="00027604" w:rsidRPr="0089300F" w:rsidRDefault="00027604" w:rsidP="00027604">
            <w:r w:rsidRPr="0089300F">
              <w:t>26993</w:t>
            </w:r>
          </w:p>
        </w:tc>
        <w:tc>
          <w:tcPr>
            <w:tcW w:w="724" w:type="dxa"/>
          </w:tcPr>
          <w:p w:rsidR="00027604" w:rsidRDefault="00027604" w:rsidP="00027604">
            <w:r w:rsidRPr="0089300F">
              <w:t>25319</w:t>
            </w:r>
          </w:p>
        </w:tc>
      </w:tr>
      <w:tr w:rsidR="00027604">
        <w:tc>
          <w:tcPr>
            <w:tcW w:w="178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027604" w:rsidRDefault="00027604" w:rsidP="00027604">
            <w:pPr>
              <w:pStyle w:val="ConsPlusNormal"/>
              <w:jc w:val="center"/>
            </w:pPr>
            <w:r>
              <w:t>1300</w:t>
            </w:r>
          </w:p>
        </w:tc>
        <w:tc>
          <w:tcPr>
            <w:tcW w:w="724" w:type="dxa"/>
          </w:tcPr>
          <w:p w:rsidR="00027604" w:rsidRPr="002C4B85" w:rsidRDefault="00027604" w:rsidP="00027604">
            <w:r w:rsidRPr="002C4B85">
              <w:t>1498</w:t>
            </w:r>
          </w:p>
        </w:tc>
        <w:tc>
          <w:tcPr>
            <w:tcW w:w="724" w:type="dxa"/>
          </w:tcPr>
          <w:p w:rsidR="00027604" w:rsidRPr="002C4B85" w:rsidRDefault="00027604" w:rsidP="00027604">
            <w:r w:rsidRPr="002C4B85">
              <w:t>1000</w:t>
            </w:r>
          </w:p>
        </w:tc>
        <w:tc>
          <w:tcPr>
            <w:tcW w:w="724" w:type="dxa"/>
          </w:tcPr>
          <w:p w:rsidR="00027604" w:rsidRDefault="00027604" w:rsidP="00027604">
            <w:r w:rsidRPr="002C4B85">
              <w:t>0</w:t>
            </w:r>
          </w:p>
        </w:tc>
      </w:tr>
      <w:tr w:rsidR="00D41111">
        <w:tc>
          <w:tcPr>
            <w:tcW w:w="178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24" w:type="dxa"/>
          </w:tcPr>
          <w:p w:rsidR="00D41111" w:rsidRDefault="00D41111">
            <w:pPr>
              <w:pStyle w:val="ConsPlusNormal"/>
            </w:pP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301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0830000000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  <w:tr w:rsidR="00D41111">
        <w:tc>
          <w:tcPr>
            <w:tcW w:w="1789" w:type="dxa"/>
          </w:tcPr>
          <w:p w:rsidR="00D41111" w:rsidRDefault="00D41111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D41111" w:rsidRDefault="00D41111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D41111" w:rsidRDefault="00D41111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</w:tcPr>
          <w:p w:rsidR="00D41111" w:rsidRDefault="00D4111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D41111" w:rsidRDefault="00D41111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D4111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D41111" w:rsidRDefault="00027604">
            <w:pPr>
              <w:pStyle w:val="ConsPlusNormal"/>
              <w:jc w:val="center"/>
            </w:pPr>
            <w:r>
              <w:t>0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5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bookmarkStart w:id="9" w:name="P2261"/>
      <w:bookmarkEnd w:id="9"/>
      <w:r>
        <w:t>Прогноз</w:t>
      </w:r>
    </w:p>
    <w:p w:rsidR="00D41111" w:rsidRDefault="00D41111">
      <w:pPr>
        <w:pStyle w:val="ConsPlusTitle"/>
        <w:jc w:val="center"/>
      </w:pPr>
      <w:r>
        <w:t>сводных показателей муниципальных заданий на оказание</w:t>
      </w:r>
    </w:p>
    <w:p w:rsidR="00D41111" w:rsidRDefault="00D41111">
      <w:pPr>
        <w:pStyle w:val="ConsPlusTitle"/>
        <w:jc w:val="center"/>
      </w:pPr>
      <w:r>
        <w:t>муниципальных услуг (работ) муниципальными учреждениями</w:t>
      </w:r>
    </w:p>
    <w:p w:rsidR="00D41111" w:rsidRDefault="00D41111">
      <w:pPr>
        <w:pStyle w:val="ConsPlusTitle"/>
        <w:jc w:val="center"/>
      </w:pPr>
      <w:r>
        <w:t xml:space="preserve">по Программе "Обеспечение населения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D41111" w:rsidRDefault="00D41111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D41111" w:rsidRDefault="00D41111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D41111" w:rsidRDefault="00D41111">
      <w:pPr>
        <w:pStyle w:val="ConsPlusTitle"/>
        <w:jc w:val="center"/>
      </w:pPr>
      <w:r>
        <w:t>средствах массовой информации"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9"/>
        <w:gridCol w:w="1204"/>
        <w:gridCol w:w="1204"/>
        <w:gridCol w:w="1189"/>
        <w:gridCol w:w="1189"/>
        <w:gridCol w:w="1204"/>
        <w:gridCol w:w="1189"/>
        <w:gridCol w:w="1189"/>
      </w:tblGrid>
      <w:tr w:rsidR="00D41111">
        <w:tc>
          <w:tcPr>
            <w:tcW w:w="1879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D41111" w:rsidRDefault="00D41111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3582" w:type="dxa"/>
            <w:gridSpan w:val="3"/>
          </w:tcPr>
          <w:p w:rsidR="00D41111" w:rsidRDefault="00D41111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582" w:type="dxa"/>
            <w:gridSpan w:val="3"/>
          </w:tcPr>
          <w:p w:rsidR="00D41111" w:rsidRDefault="00D41111">
            <w:pPr>
              <w:pStyle w:val="ConsPlusNormal"/>
              <w:jc w:val="center"/>
            </w:pPr>
            <w:r>
              <w:t xml:space="preserve">Расходы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на оказание муниципальной услуги (работы), тыс. рублей</w:t>
            </w:r>
          </w:p>
        </w:tc>
      </w:tr>
      <w:tr w:rsidR="00D41111">
        <w:tc>
          <w:tcPr>
            <w:tcW w:w="1879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204" w:type="dxa"/>
            <w:vMerge/>
          </w:tcPr>
          <w:p w:rsidR="00D41111" w:rsidRDefault="00D41111">
            <w:pPr>
              <w:pStyle w:val="ConsPlusNormal"/>
            </w:pP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D41111">
        <w:tc>
          <w:tcPr>
            <w:tcW w:w="10247" w:type="dxa"/>
            <w:gridSpan w:val="8"/>
          </w:tcPr>
          <w:p w:rsidR="00D41111" w:rsidRDefault="00D41111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D41111">
        <w:tc>
          <w:tcPr>
            <w:tcW w:w="10247" w:type="dxa"/>
            <w:gridSpan w:val="8"/>
          </w:tcPr>
          <w:p w:rsidR="00D41111" w:rsidRDefault="00D41111">
            <w:pPr>
              <w:pStyle w:val="ConsPlusNormal"/>
              <w:jc w:val="center"/>
            </w:pPr>
            <w:r>
              <w:t>Основное мероприятие 2.1.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D41111">
        <w:tc>
          <w:tcPr>
            <w:tcW w:w="1879" w:type="dxa"/>
          </w:tcPr>
          <w:p w:rsidR="00D41111" w:rsidRDefault="00D41111">
            <w:pPr>
              <w:pStyle w:val="ConsPlusNormal"/>
              <w:jc w:val="center"/>
            </w:pPr>
            <w:r>
              <w:t>1. Осуществление издательской деятельности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6430</w:t>
            </w:r>
          </w:p>
        </w:tc>
      </w:tr>
      <w:tr w:rsidR="00D41111">
        <w:tc>
          <w:tcPr>
            <w:tcW w:w="1879" w:type="dxa"/>
          </w:tcPr>
          <w:p w:rsidR="00D41111" w:rsidRDefault="00D41111">
            <w:pPr>
              <w:pStyle w:val="ConsPlusNormal"/>
              <w:jc w:val="center"/>
            </w:pPr>
            <w:r>
              <w:t>Количество печатных полос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полосы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</w:tr>
      <w:tr w:rsidR="00D41111">
        <w:tc>
          <w:tcPr>
            <w:tcW w:w="1879" w:type="dxa"/>
          </w:tcPr>
          <w:p w:rsidR="00D41111" w:rsidRDefault="00D41111">
            <w:pPr>
              <w:pStyle w:val="ConsPlusNormal"/>
              <w:jc w:val="center"/>
            </w:pPr>
            <w:r>
              <w:t>2. Производство и распространение телепрограмм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4800</w:t>
            </w:r>
          </w:p>
        </w:tc>
      </w:tr>
      <w:tr w:rsidR="00D41111">
        <w:tc>
          <w:tcPr>
            <w:tcW w:w="1879" w:type="dxa"/>
          </w:tcPr>
          <w:p w:rsidR="00D41111" w:rsidRDefault="00D41111">
            <w:pPr>
              <w:pStyle w:val="ConsPlusNormal"/>
              <w:jc w:val="center"/>
            </w:pPr>
            <w:r>
              <w:t>Количество телепередач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часов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204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D41111" w:rsidRDefault="00D41111">
            <w:pPr>
              <w:pStyle w:val="ConsPlusNormal"/>
              <w:jc w:val="center"/>
            </w:pPr>
            <w:r>
              <w:t>x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right"/>
        <w:outlineLvl w:val="1"/>
      </w:pPr>
      <w:r>
        <w:t>Приложение N 6</w:t>
      </w:r>
    </w:p>
    <w:p w:rsidR="00D41111" w:rsidRDefault="00D41111">
      <w:pPr>
        <w:pStyle w:val="ConsPlusNormal"/>
        <w:jc w:val="right"/>
      </w:pPr>
      <w:r>
        <w:t>к муниципальной программе "Обеспечение</w:t>
      </w:r>
    </w:p>
    <w:p w:rsidR="00D41111" w:rsidRDefault="00D41111">
      <w:pPr>
        <w:pStyle w:val="ConsPlusNormal"/>
        <w:jc w:val="right"/>
      </w:pPr>
      <w:r>
        <w:t xml:space="preserve">населения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D41111" w:rsidRDefault="00D41111">
      <w:pPr>
        <w:pStyle w:val="ConsPlusNormal"/>
        <w:jc w:val="right"/>
      </w:pPr>
      <w:r>
        <w:t>Белгородской области информацией о деятельности</w:t>
      </w:r>
    </w:p>
    <w:p w:rsidR="00D41111" w:rsidRDefault="00D41111">
      <w:pPr>
        <w:pStyle w:val="ConsPlusNormal"/>
        <w:jc w:val="right"/>
      </w:pPr>
      <w:r>
        <w:t>органов местного самоуправления в печатных</w:t>
      </w:r>
    </w:p>
    <w:p w:rsidR="00D41111" w:rsidRDefault="00D41111">
      <w:pPr>
        <w:pStyle w:val="ConsPlusNormal"/>
        <w:jc w:val="right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Title"/>
        <w:jc w:val="center"/>
      </w:pPr>
      <w:r>
        <w:t>Сведения</w:t>
      </w:r>
    </w:p>
    <w:p w:rsidR="00D41111" w:rsidRDefault="00D41111">
      <w:pPr>
        <w:pStyle w:val="ConsPlusTitle"/>
        <w:jc w:val="center"/>
      </w:pPr>
      <w:r>
        <w:t>о методике расчета показателей конечного результата</w:t>
      </w:r>
    </w:p>
    <w:p w:rsidR="00D41111" w:rsidRDefault="00D41111">
      <w:pPr>
        <w:pStyle w:val="ConsPlusTitle"/>
        <w:jc w:val="center"/>
      </w:pPr>
      <w:r>
        <w:t xml:space="preserve">муниципальной программы "Обеспечение населения </w:t>
      </w:r>
      <w:proofErr w:type="spellStart"/>
      <w:r>
        <w:t>Губкинского</w:t>
      </w:r>
      <w:proofErr w:type="spellEnd"/>
    </w:p>
    <w:p w:rsidR="00D41111" w:rsidRDefault="00D41111">
      <w:pPr>
        <w:pStyle w:val="ConsPlusTitle"/>
        <w:jc w:val="center"/>
      </w:pPr>
      <w:r>
        <w:t>городского округа Белгородской области информацией</w:t>
      </w:r>
    </w:p>
    <w:p w:rsidR="00D41111" w:rsidRDefault="00D41111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D41111" w:rsidRDefault="00D41111">
      <w:pPr>
        <w:pStyle w:val="ConsPlusTitle"/>
        <w:jc w:val="center"/>
      </w:pPr>
      <w:r>
        <w:t>и электронных средствах массовой информации"</w:t>
      </w:r>
    </w:p>
    <w:p w:rsidR="00D41111" w:rsidRDefault="00D411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2891"/>
        <w:gridCol w:w="1282"/>
        <w:gridCol w:w="4989"/>
        <w:gridCol w:w="1920"/>
        <w:gridCol w:w="1944"/>
      </w:tblGrid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6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026" w:type="dxa"/>
            <w:gridSpan w:val="5"/>
          </w:tcPr>
          <w:p w:rsidR="00D41111" w:rsidRDefault="00D41111">
            <w:pPr>
              <w:pStyle w:val="ConsPlusNormal"/>
              <w:jc w:val="center"/>
            </w:pPr>
            <w:r>
              <w:t xml:space="preserve">Муниципальная программа "Обеспечение населения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351915" cy="49276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676400" cy="49276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местного самоуправления (полосы),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8"/>
              </w:rPr>
              <w:drawing>
                <wp:inline distT="0" distB="0" distL="0" distR="0">
                  <wp:extent cx="1079500" cy="50292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графику представления информации в СМИ)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4.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9"/>
              </w:rPr>
              <w:drawing>
                <wp:inline distT="0" distB="0" distL="0" distR="0">
                  <wp:extent cx="1393825" cy="51371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25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026" w:type="dxa"/>
            <w:gridSpan w:val="5"/>
          </w:tcPr>
          <w:p w:rsidR="00D41111" w:rsidRDefault="00D41111">
            <w:pPr>
              <w:pStyle w:val="ConsPlusNormal"/>
              <w:jc w:val="center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1.1.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351915" cy="49276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026" w:type="dxa"/>
            <w:gridSpan w:val="5"/>
          </w:tcPr>
          <w:p w:rsidR="00D41111" w:rsidRDefault="00D41111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676400" cy="49276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местного самоуправления (полосы),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2.2.</w:t>
            </w:r>
          </w:p>
          <w:p w:rsidR="00D41111" w:rsidRDefault="00D41111">
            <w:pPr>
              <w:pStyle w:val="ConsPlusNormal"/>
              <w:jc w:val="center"/>
            </w:pPr>
            <w:r>
              <w:t xml:space="preserve">Уровень доведенной до сведения жителей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8"/>
              </w:rPr>
              <w:drawing>
                <wp:inline distT="0" distB="0" distL="0" distR="0">
                  <wp:extent cx="1058545" cy="50292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r>
              <w:t>где: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графику представления информации в СМИ)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</w:pPr>
          </w:p>
        </w:tc>
        <w:tc>
          <w:tcPr>
            <w:tcW w:w="13026" w:type="dxa"/>
            <w:gridSpan w:val="5"/>
          </w:tcPr>
          <w:p w:rsidR="00D41111" w:rsidRDefault="00D41111">
            <w:pPr>
              <w:pStyle w:val="ConsPlusNormal"/>
              <w:jc w:val="center"/>
            </w:pPr>
            <w:r>
              <w:t xml:space="preserve">Подпрограмма 3. "Кадровая политика в сфере развития информационного пространства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</w:tr>
      <w:tr w:rsidR="00D41111">
        <w:tc>
          <w:tcPr>
            <w:tcW w:w="576" w:type="dxa"/>
          </w:tcPr>
          <w:p w:rsidR="00D41111" w:rsidRDefault="00D411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D41111" w:rsidRDefault="00D41111">
            <w:pPr>
              <w:pStyle w:val="ConsPlusNormal"/>
              <w:jc w:val="center"/>
            </w:pPr>
            <w:r>
              <w:t>Показатель 3.1.</w:t>
            </w:r>
          </w:p>
          <w:p w:rsidR="00D41111" w:rsidRDefault="00D41111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D41111" w:rsidRDefault="00D4111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D41111" w:rsidRDefault="00D41111">
            <w:pPr>
              <w:pStyle w:val="ConsPlusNormal"/>
              <w:jc w:val="center"/>
            </w:pPr>
            <w:r>
              <w:rPr>
                <w:noProof/>
                <w:position w:val="-29"/>
              </w:rPr>
              <w:drawing>
                <wp:inline distT="0" distB="0" distL="0" distR="0">
                  <wp:extent cx="1393825" cy="51371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25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D41111" w:rsidRDefault="00D41111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D41111" w:rsidRDefault="00D41111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D41111" w:rsidRDefault="00D41111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jc w:val="both"/>
      </w:pPr>
    </w:p>
    <w:p w:rsidR="00D41111" w:rsidRDefault="00D4111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1392" w:rsidRDefault="00601392"/>
    <w:sectPr w:rsidR="00601392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11"/>
    <w:rsid w:val="00027604"/>
    <w:rsid w:val="00063D58"/>
    <w:rsid w:val="00081C30"/>
    <w:rsid w:val="000B1BEA"/>
    <w:rsid w:val="002915FA"/>
    <w:rsid w:val="002936D1"/>
    <w:rsid w:val="002F1DA3"/>
    <w:rsid w:val="003A7AB7"/>
    <w:rsid w:val="003D1861"/>
    <w:rsid w:val="00601392"/>
    <w:rsid w:val="006F1216"/>
    <w:rsid w:val="00D41111"/>
    <w:rsid w:val="00DC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92CFB-267A-46EA-B595-BC49CE00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411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41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411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411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411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411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411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013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1392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44154&amp;dst=100005" TargetMode="External"/><Relationship Id="rId13" Type="http://schemas.openxmlformats.org/officeDocument/2006/relationships/hyperlink" Target="https://login.consultant.ru/link/?req=doc&amp;base=RLAW404&amp;n=72892&amp;dst=100005" TargetMode="External"/><Relationship Id="rId18" Type="http://schemas.openxmlformats.org/officeDocument/2006/relationships/hyperlink" Target="https://login.consultant.ru/link/?req=doc&amp;base=RLAW404&amp;n=95790&amp;dst=100005" TargetMode="External"/><Relationship Id="rId26" Type="http://schemas.openxmlformats.org/officeDocument/2006/relationships/hyperlink" Target="https://login.consultant.ru/link/?req=doc&amp;base=RLAW404&amp;n=41039&amp;dst=100006" TargetMode="External"/><Relationship Id="rId39" Type="http://schemas.openxmlformats.org/officeDocument/2006/relationships/image" Target="media/image2.wmf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9774" TargetMode="External"/><Relationship Id="rId34" Type="http://schemas.openxmlformats.org/officeDocument/2006/relationships/hyperlink" Target="https://login.consultant.ru/link/?req=doc&amp;base=RLAW404&amp;n=100180&amp;dst=100119" TargetMode="External"/><Relationship Id="rId42" Type="http://schemas.openxmlformats.org/officeDocument/2006/relationships/image" Target="media/image5.wmf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404&amp;n=41039&amp;dst=100005" TargetMode="External"/><Relationship Id="rId12" Type="http://schemas.openxmlformats.org/officeDocument/2006/relationships/hyperlink" Target="https://login.consultant.ru/link/?req=doc&amp;base=RLAW404&amp;n=67591&amp;dst=100005" TargetMode="External"/><Relationship Id="rId17" Type="http://schemas.openxmlformats.org/officeDocument/2006/relationships/hyperlink" Target="https://login.consultant.ru/link/?req=doc&amp;base=RLAW404&amp;n=95604&amp;dst=100005" TargetMode="External"/><Relationship Id="rId25" Type="http://schemas.openxmlformats.org/officeDocument/2006/relationships/hyperlink" Target="https://login.consultant.ru/link/?req=doc&amp;base=RLAW404&amp;n=79947&amp;dst=100007" TargetMode="External"/><Relationship Id="rId33" Type="http://schemas.openxmlformats.org/officeDocument/2006/relationships/hyperlink" Target="https://login.consultant.ru/link/?req=doc&amp;base=RLAW404&amp;n=81812" TargetMode="External"/><Relationship Id="rId38" Type="http://schemas.openxmlformats.org/officeDocument/2006/relationships/image" Target="media/image1.wmf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94515&amp;dst=100005" TargetMode="External"/><Relationship Id="rId20" Type="http://schemas.openxmlformats.org/officeDocument/2006/relationships/hyperlink" Target="https://login.consultant.ru/link/?req=doc&amp;base=RLAW404&amp;n=100180&amp;dst=100005" TargetMode="External"/><Relationship Id="rId29" Type="http://schemas.openxmlformats.org/officeDocument/2006/relationships/hyperlink" Target="https://login.consultant.ru/link/?req=doc&amp;base=RLAW404&amp;n=100180&amp;dst=100006" TargetMode="External"/><Relationship Id="rId41" Type="http://schemas.openxmlformats.org/officeDocument/2006/relationships/image" Target="media/image4.wmf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40066&amp;dst=100005" TargetMode="External"/><Relationship Id="rId11" Type="http://schemas.openxmlformats.org/officeDocument/2006/relationships/hyperlink" Target="https://login.consultant.ru/link/?req=doc&amp;base=RLAW404&amp;n=61828&amp;dst=100005" TargetMode="External"/><Relationship Id="rId24" Type="http://schemas.openxmlformats.org/officeDocument/2006/relationships/hyperlink" Target="https://login.consultant.ru/link/?req=doc&amp;base=RLAW404&amp;n=79642" TargetMode="External"/><Relationship Id="rId32" Type="http://schemas.openxmlformats.org/officeDocument/2006/relationships/hyperlink" Target="https://login.consultant.ru/link/?req=doc&amp;base=RLAW404&amp;n=100180&amp;dst=100096" TargetMode="External"/><Relationship Id="rId37" Type="http://schemas.openxmlformats.org/officeDocument/2006/relationships/hyperlink" Target="https://login.consultant.ru/link/?req=doc&amp;base=RLAW404&amp;n=100180&amp;dst=100120" TargetMode="External"/><Relationship Id="rId40" Type="http://schemas.openxmlformats.org/officeDocument/2006/relationships/image" Target="media/image3.wmf"/><Relationship Id="rId45" Type="http://schemas.openxmlformats.org/officeDocument/2006/relationships/image" Target="media/image8.wmf"/><Relationship Id="rId5" Type="http://schemas.openxmlformats.org/officeDocument/2006/relationships/hyperlink" Target="https://login.consultant.ru/link/?req=doc&amp;base=RLAW404&amp;n=39385&amp;dst=100005" TargetMode="External"/><Relationship Id="rId15" Type="http://schemas.openxmlformats.org/officeDocument/2006/relationships/hyperlink" Target="https://login.consultant.ru/link/?req=doc&amp;base=RLAW404&amp;n=85021&amp;dst=100005" TargetMode="External"/><Relationship Id="rId23" Type="http://schemas.openxmlformats.org/officeDocument/2006/relationships/hyperlink" Target="https://login.consultant.ru/link/?req=doc&amp;base=RLAW404&amp;n=97306" TargetMode="External"/><Relationship Id="rId28" Type="http://schemas.openxmlformats.org/officeDocument/2006/relationships/hyperlink" Target="https://login.consultant.ru/link/?req=doc&amp;base=RLAW404&amp;n=79947&amp;dst=100009" TargetMode="External"/><Relationship Id="rId36" Type="http://schemas.openxmlformats.org/officeDocument/2006/relationships/hyperlink" Target="https://login.consultant.ru/link/?req=doc&amp;base=RLAW404&amp;n=100180&amp;dst=100120" TargetMode="External"/><Relationship Id="rId10" Type="http://schemas.openxmlformats.org/officeDocument/2006/relationships/hyperlink" Target="https://login.consultant.ru/link/?req=doc&amp;base=RLAW404&amp;n=54309&amp;dst=100005" TargetMode="External"/><Relationship Id="rId19" Type="http://schemas.openxmlformats.org/officeDocument/2006/relationships/hyperlink" Target="https://login.consultant.ru/link/?req=doc&amp;base=RLAW404&amp;n=95767&amp;dst=100005" TargetMode="External"/><Relationship Id="rId31" Type="http://schemas.openxmlformats.org/officeDocument/2006/relationships/hyperlink" Target="https://login.consultant.ru/link/?req=doc&amp;base=RLAW404&amp;n=100180&amp;dst=100051" TargetMode="External"/><Relationship Id="rId44" Type="http://schemas.openxmlformats.org/officeDocument/2006/relationships/image" Target="media/image7.wmf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50320&amp;dst=100005" TargetMode="External"/><Relationship Id="rId14" Type="http://schemas.openxmlformats.org/officeDocument/2006/relationships/hyperlink" Target="https://login.consultant.ru/link/?req=doc&amp;base=RLAW404&amp;n=79947&amp;dst=100005" TargetMode="External"/><Relationship Id="rId22" Type="http://schemas.openxmlformats.org/officeDocument/2006/relationships/hyperlink" Target="https://login.consultant.ru/link/?req=doc&amp;base=LAW&amp;n=471024" TargetMode="External"/><Relationship Id="rId27" Type="http://schemas.openxmlformats.org/officeDocument/2006/relationships/hyperlink" Target="https://login.consultant.ru/link/?req=doc&amp;base=RLAW404&amp;n=67591&amp;dst=100007" TargetMode="External"/><Relationship Id="rId30" Type="http://schemas.openxmlformats.org/officeDocument/2006/relationships/hyperlink" Target="https://login.consultant.ru/link/?req=doc&amp;base=RLAW404&amp;n=100180&amp;dst=100007" TargetMode="External"/><Relationship Id="rId35" Type="http://schemas.openxmlformats.org/officeDocument/2006/relationships/hyperlink" Target="https://login.consultant.ru/link/?req=doc&amp;base=RLAW404&amp;n=100180&amp;dst=100119" TargetMode="External"/><Relationship Id="rId43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55</Pages>
  <Words>14654</Words>
  <Characters>83532</Characters>
  <Application>Microsoft Office Word</Application>
  <DocSecurity>0</DocSecurity>
  <Lines>696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Ложкина</dc:creator>
  <cp:keywords/>
  <dc:description/>
  <cp:lastModifiedBy>administrat</cp:lastModifiedBy>
  <cp:revision>2</cp:revision>
  <dcterms:created xsi:type="dcterms:W3CDTF">2024-11-12T08:32:00Z</dcterms:created>
  <dcterms:modified xsi:type="dcterms:W3CDTF">2024-11-12T09:29:00Z</dcterms:modified>
</cp:coreProperties>
</file>