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A56E6" w:rsidRDefault="003A56E6">
      <w:pPr>
        <w:pStyle w:val="ConsPlusNormal"/>
        <w:jc w:val="both"/>
        <w:outlineLvl w:val="0"/>
      </w:pPr>
    </w:p>
    <w:p w:rsidR="003A56E6" w:rsidRDefault="003A56E6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6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7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8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9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0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1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2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4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5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16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7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18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 w:rsidP="00DA08E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19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2223-па</w:t>
              </w:r>
            </w:hyperlink>
            <w:r w:rsidR="0011313F">
              <w:rPr>
                <w:color w:val="0000FF"/>
              </w:rPr>
              <w:t xml:space="preserve">, </w:t>
            </w:r>
            <w:r w:rsidR="0011313F" w:rsidRPr="0011313F">
              <w:rPr>
                <w:color w:val="0000FF"/>
              </w:rPr>
              <w:t>от 2</w:t>
            </w:r>
            <w:r w:rsidR="0011313F">
              <w:rPr>
                <w:color w:val="0000FF"/>
              </w:rPr>
              <w:t>1</w:t>
            </w:r>
            <w:r w:rsidR="0011313F" w:rsidRPr="0011313F">
              <w:rPr>
                <w:color w:val="0000FF"/>
              </w:rPr>
              <w:t>.12.202</w:t>
            </w:r>
            <w:r w:rsidR="0011313F">
              <w:rPr>
                <w:color w:val="0000FF"/>
              </w:rPr>
              <w:t>2</w:t>
            </w:r>
            <w:r w:rsidR="0011313F" w:rsidRPr="0011313F">
              <w:rPr>
                <w:color w:val="0000FF"/>
              </w:rPr>
              <w:t xml:space="preserve"> N </w:t>
            </w:r>
            <w:r w:rsidR="0011313F">
              <w:rPr>
                <w:color w:val="0000FF"/>
              </w:rPr>
              <w:t>2571</w:t>
            </w:r>
            <w:r w:rsidR="0011313F" w:rsidRPr="0011313F">
              <w:rPr>
                <w:color w:val="0000FF"/>
              </w:rPr>
              <w:t>-</w:t>
            </w:r>
            <w:proofErr w:type="gramStart"/>
            <w:r w:rsidR="0011313F" w:rsidRPr="0011313F">
              <w:rPr>
                <w:color w:val="0000FF"/>
              </w:rPr>
              <w:t>па</w:t>
            </w:r>
            <w:r w:rsidR="00DA08E7">
              <w:rPr>
                <w:color w:val="0000FF"/>
              </w:rPr>
              <w:t>,</w:t>
            </w:r>
            <w:r w:rsidR="00DA08E7">
              <w:t xml:space="preserve">   </w:t>
            </w:r>
            <w:proofErr w:type="gramEnd"/>
            <w:r w:rsidR="00DA08E7">
              <w:t xml:space="preserve">                                             </w:t>
            </w:r>
            <w:r w:rsidR="00DA08E7" w:rsidRPr="00DA08E7">
              <w:rPr>
                <w:color w:val="323E4F" w:themeColor="text2" w:themeShade="BF"/>
              </w:rPr>
              <w:t xml:space="preserve">от 24.03.2023 </w:t>
            </w:r>
            <w:r w:rsidR="00DA08E7" w:rsidRPr="00DA08E7">
              <w:rPr>
                <w:color w:val="0000FF"/>
              </w:rPr>
              <w:t xml:space="preserve">N </w:t>
            </w:r>
            <w:r w:rsidR="00DA08E7">
              <w:rPr>
                <w:color w:val="0000FF"/>
              </w:rPr>
              <w:t>429</w:t>
            </w:r>
            <w:r w:rsidR="00DA08E7" w:rsidRPr="00DA08E7">
              <w:rPr>
                <w:color w:val="0000FF"/>
              </w:rPr>
              <w:t>-па</w:t>
            </w:r>
            <w:r w:rsidR="00DA08E7">
              <w:rPr>
                <w:color w:val="0000FF"/>
              </w:rPr>
              <w:t xml:space="preserve"> 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4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26">
        <w:r>
          <w:rPr>
            <w:color w:val="0000FF"/>
          </w:rPr>
          <w:t>N 2175-па</w:t>
        </w:r>
      </w:hyperlink>
      <w:r>
        <w:t xml:space="preserve">, от 26.12.2020 </w:t>
      </w:r>
      <w:hyperlink r:id="rId27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29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30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lastRenderedPageBreak/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Паспорт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 (далее - Программа)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1. </w:t>
            </w:r>
            <w:hyperlink w:anchor="P430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общественного питания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2. </w:t>
            </w:r>
            <w:hyperlink w:anchor="P722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торговли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3. </w:t>
            </w:r>
            <w:hyperlink w:anchor="P1027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 поддержка малого и среднего предпринимательства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Задача 1. Максимально полное удовлетворение потребностей </w:t>
            </w:r>
            <w:r>
              <w:lastRenderedPageBreak/>
              <w:t>населения городского округа в услугах общественного питания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2014 - 2025 годы - 86402,412 тыс. рублей, в том числе за счет средств федерального бюджета </w:t>
            </w:r>
            <w:hyperlink w:anchor="P158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- 4217,112 тыс. руб., средств иных источников - 14443,6 тыс. руб.,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- 69,512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- 161,5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- 248,0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- 522,2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- 1699,9 тыс.,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- 745,0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- 116,0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- 1</w:t>
            </w:r>
            <w:r w:rsidR="0011313F">
              <w:t>43</w:t>
            </w:r>
            <w:r>
              <w:t>,</w:t>
            </w:r>
            <w:r w:rsidR="0011313F">
              <w:t>7</w:t>
            </w:r>
            <w:r>
              <w:t xml:space="preserve">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2023 год - 1</w:t>
            </w:r>
            <w:r w:rsidR="00DA7B86">
              <w:t>40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- 1</w:t>
            </w:r>
            <w:r w:rsidR="00DA7B86">
              <w:t>40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- 1</w:t>
            </w:r>
            <w:r w:rsidR="00DA7B86">
              <w:t>40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Программы, кроме того, предусмотрено в 2014 - 2025 годах предоставление муниципальной гарантии Губкинского городского округа Белгородской области в объеме 3 млн. рублей. </w:t>
            </w:r>
            <w:hyperlink w:anchor="P156">
              <w:r>
                <w:rPr>
                  <w:color w:val="0000FF"/>
                </w:rPr>
                <w:t>&lt;*&gt;</w:t>
              </w:r>
            </w:hyperlink>
            <w: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2. Обеспеченность торговыми площадями на 1 тысячу жителей.</w:t>
            </w:r>
          </w:p>
          <w:p w:rsidR="003A56E6" w:rsidRDefault="003A56E6">
            <w:pPr>
              <w:pStyle w:val="ConsPlusNormal"/>
              <w:jc w:val="both"/>
            </w:pPr>
            <w:r>
              <w:t>3. Доля занятых в малом и среднем бизнесе, включая ИП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Программы </w:t>
            </w:r>
            <w:hyperlink w:anchor="P157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К 2025 году планируется достижение следующих целевых показателей: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количества посадочных мест в предприятиях общественного питания до 9600 ед.;</w:t>
            </w:r>
          </w:p>
          <w:p w:rsidR="003A56E6" w:rsidRDefault="003A56E6">
            <w:pPr>
              <w:pStyle w:val="ConsPlusNormal"/>
              <w:jc w:val="both"/>
            </w:pPr>
            <w:r>
              <w:t>- рост обеспеченности торговыми площадями на 1 тысячу жителей до 788,6 кв. м;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доли занятых в малом и среднем бизнесе, включая ИП, в общей численности до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1" w:name="P156"/>
      <w:bookmarkEnd w:id="1"/>
      <w:r>
        <w:t>&lt;*&gt; решением Совета депутатов Губкинского городского округа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2" w:name="P157"/>
      <w:bookmarkEnd w:id="2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3" w:name="P158"/>
      <w:bookmarkEnd w:id="3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3A56E6" w:rsidRDefault="003A56E6">
      <w:pPr>
        <w:pStyle w:val="ConsPlusTitle"/>
        <w:jc w:val="center"/>
      </w:pPr>
      <w:r>
        <w:t>в том числе формулировки основных проблем</w:t>
      </w:r>
    </w:p>
    <w:p w:rsidR="003A56E6" w:rsidRDefault="003A56E6">
      <w:pPr>
        <w:pStyle w:val="ConsPlusTitle"/>
        <w:jc w:val="center"/>
      </w:pPr>
      <w:r>
        <w:t>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По данным департамента экономического развития Белгородской области, объем валового муниципального продукта Губкинского городского округа Белгородской области (далее - ВМП городского округа) в 2013 году в основных текущих ценах составил 73020,12 млн. рублей, удельный вес в валовом региональном продукте Белгородской области (далее - ВРП Белгородской области) - 12,74%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Оборот розничной торговли в городском округе, по данным за 2013 год, составил 14,5 млрд. рублей, что в сопоставимых ценах на 3,9% выше показателей прошлого года. В физическом объеме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году 262,5 млн.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 Обеспеченность торговыми площадями в расчете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Сохраняя устойчивые темпы роста экономики на протяжении последних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а) рост инфраструктурных ограничений. Прежде всего, это касается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интенсификация конкуренции за рынки сбыта продукции и за ресурсы развития. 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ухудшение конъюнктуры на мировых рынках специализации. 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Содержание и мероприятия Программы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Программы соответствуют второму стратегическому направлению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позволит обеспечить достижение цели и решение поставленных задач за счет концентрации и координации финансовых, имущественных и организационных ресурсов, увязки сроков реализации мероприятий и объемов их финансирования с ожидаемыми результатами, а также будет являться важным инструментом увеличения экономического потенциала Губкинского городского округа Белгородской области.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3A56E6" w:rsidRDefault="003A56E6">
      <w:pPr>
        <w:pStyle w:val="ConsPlusTitle"/>
        <w:jc w:val="center"/>
      </w:pPr>
      <w:r>
        <w:t>Программы, цели, задачи и показатели достижения целей</w:t>
      </w:r>
    </w:p>
    <w:p w:rsidR="003A56E6" w:rsidRDefault="003A56E6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3A56E6" w:rsidRDefault="003A56E6">
      <w:pPr>
        <w:pStyle w:val="ConsPlusTitle"/>
        <w:jc w:val="center"/>
      </w:pPr>
      <w:r>
        <w:t>Программы, сроков и этапов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Приоритеты социально-экономического развития Губкинского городского округа Белгородской </w:t>
      </w:r>
      <w:r>
        <w:lastRenderedPageBreak/>
        <w:t>области отражены во втором стратегическом направлении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институциональной среды инновационного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благоприятного инвестиционного климата для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сельского хозяйства и промышленности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информационное обеспечение инновационного развития экономики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Исходя из обозначенных стратегических задач и приоритетов целью Программы является 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достижения поставленной цели потребуется решение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количество посадочных мест в предприятиях общественного питания,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- 9521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- 9700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- 9850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- 9900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- 9950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- 9360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- 9450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- 9470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- 9475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- 9500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- 9550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- 9600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обеспеченность торговыми площадями на 1 тысячу жителей,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- 602,0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2015 год - 625,0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- 630,0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- 641,7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- 658,3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- 680,0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- 691,6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- 747,9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- 758,4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- 772,5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- 786,5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- 788,6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доля занятых в малом и среднем бизнесе, включая ИП,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будет способствовать увеличению экономического потенциала Губкинского городского округа Белгородской области, формированию благоприятного предпринимательского климата и повышению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реализуется в 2014 - 2025 годах, I этап: 2014 - 2020 годы, II этап: 2021 - 2025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3A56E6" w:rsidRDefault="003A56E6">
      <w:pPr>
        <w:pStyle w:val="ConsPlusTitle"/>
        <w:jc w:val="center"/>
      </w:pPr>
      <w:r>
        <w:t>самоуправления Губкинского городского округа Белгородской</w:t>
      </w:r>
    </w:p>
    <w:p w:rsidR="003A56E6" w:rsidRDefault="003A56E6">
      <w:pPr>
        <w:pStyle w:val="ConsPlusTitle"/>
        <w:jc w:val="center"/>
      </w:pPr>
      <w:r>
        <w:t>области, принятие или изменение которых необходимо</w:t>
      </w:r>
    </w:p>
    <w:p w:rsidR="003A56E6" w:rsidRDefault="003A56E6">
      <w:pPr>
        <w:pStyle w:val="ConsPlusTitle"/>
        <w:jc w:val="center"/>
      </w:pPr>
      <w:r>
        <w:t>для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</w:t>
      </w:r>
      <w:hyperlink w:anchor="P2330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цель и обеспечить решение задач Программы, и состоит из 3 подпрограмм: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</w:t>
      </w:r>
      <w:hyperlink w:anchor="P722">
        <w:r>
          <w:rPr>
            <w:color w:val="0000FF"/>
          </w:rPr>
          <w:t>Подпрограмма</w:t>
        </w:r>
      </w:hyperlink>
      <w:r>
        <w:t xml:space="preserve"> "Развитие общественного питания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 интенсивное развитие сферы общественного питания, повышение качества и безопасности услуг, увеличение оборота общественного питания до 653,7 млн. рублей к 2025 году; увеличение оборота общественного питания на душу населения до 5600 рублей к 2025 году; увеличение показателя обеспеченности населения посадочными местами в предприятиях общественного питания до 83 единиц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2. </w:t>
      </w:r>
      <w:hyperlink w:anchor="P430">
        <w:r>
          <w:rPr>
            <w:color w:val="0000FF"/>
          </w:rPr>
          <w:t>Подпрограмма</w:t>
        </w:r>
      </w:hyperlink>
      <w:r>
        <w:t xml:space="preserve"> "Развитие торговли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 Белгородской области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позволит обеспечить увеличение розничного товарооборота до 32,9 млрд. рублей к 2025 году, увеличение розничного товарооборота на душу населения до 282,7 тыс. рублей к 2025 году, увеличение показателя обеспеченности населения торговыми площадями в предприятиях торговли до 788,6 кв. м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 </w:t>
      </w:r>
      <w:hyperlink w:anchor="P1027">
        <w:r>
          <w:rPr>
            <w:color w:val="0000FF"/>
          </w:rPr>
          <w:t>Подпрограмма</w:t>
        </w:r>
      </w:hyperlink>
      <w:r>
        <w:t xml:space="preserve"> "Развитие и поддержка малого и среднего предпринимательства в Губкинском городском округе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участию в ремесленной и выставочно-ярмарочной деятельности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содействия субъектам малого и среднего предпринимательства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обеспечит: уровень годового оборота малых и средних предприятий в действующих ценах 27,3 млрд. рублей в 2025 году; достижение уровня доли занятых в малом и среднем бизнесе, включая ИП, в общей численности занятых к 2025 году - 31,1%.</w:t>
      </w:r>
    </w:p>
    <w:p w:rsidR="003A56E6" w:rsidRDefault="006D6FB9">
      <w:pPr>
        <w:pStyle w:val="ConsPlusNormal"/>
        <w:spacing w:before="200"/>
        <w:ind w:firstLine="540"/>
        <w:jc w:val="both"/>
      </w:pPr>
      <w:hyperlink w:anchor="P1559">
        <w:r w:rsidR="003A56E6">
          <w:rPr>
            <w:color w:val="0000FF"/>
          </w:rPr>
          <w:t>Система</w:t>
        </w:r>
      </w:hyperlink>
      <w:r w:rsidR="003A56E6">
        <w:t xml:space="preserve"> основных мероприятий и показателей подпрограмм представлена в приложении N 1 к Программе. Сроки реализации подпрограмм совпадают со сроками реализации Программы в целом: 2014 - 2025 годы, I этап: 2014 - 2020 годы, II этап: 2021 - 2025 годы.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1"/>
      </w:pPr>
      <w:r>
        <w:t>5. Ресурсное обеспечение Программы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Программы на 2014 - 2025 годы, I этап: 2014 - 2020 годы, II этап: 2021 - 2025 годы представлены в таблицах 1 и 2.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2"/>
      </w:pPr>
      <w:r>
        <w:t>Объемы финансирования Программы по годам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44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204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 xml:space="preserve">Источник </w:t>
            </w:r>
            <w:r>
              <w:lastRenderedPageBreak/>
              <w:t>финансирования</w:t>
            </w:r>
          </w:p>
        </w:tc>
        <w:tc>
          <w:tcPr>
            <w:tcW w:w="11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 xml:space="preserve">Всего за </w:t>
            </w:r>
            <w:r>
              <w:lastRenderedPageBreak/>
              <w:t>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В том числе по годам реализации:</w:t>
            </w:r>
          </w:p>
        </w:tc>
      </w:tr>
      <w:tr w:rsidR="003A56E6">
        <w:tc>
          <w:tcPr>
            <w:tcW w:w="204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85782,412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3597,112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361"/>
        <w:gridCol w:w="737"/>
        <w:gridCol w:w="680"/>
        <w:gridCol w:w="680"/>
        <w:gridCol w:w="737"/>
        <w:gridCol w:w="737"/>
      </w:tblGrid>
      <w:tr w:rsidR="003A56E6">
        <w:tc>
          <w:tcPr>
            <w:tcW w:w="41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36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571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41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36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177" w:right="-108"/>
              <w:jc w:val="center"/>
            </w:pPr>
            <w:r w:rsidRPr="008A690A">
              <w:t>6</w:t>
            </w:r>
            <w:r>
              <w:t>79</w:t>
            </w:r>
            <w:r w:rsidRPr="008A690A">
              <w:t>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143,7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>
              <w:t>140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140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right="-57"/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rFonts w:eastAsia="Calibri"/>
              </w:rPr>
            </w:pPr>
            <w:r w:rsidRPr="008A690A">
              <w:rPr>
                <w:rFonts w:eastAsia="Calibri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25" w:right="-108"/>
              <w:jc w:val="center"/>
            </w:pPr>
            <w:r w:rsidRPr="008A690A">
              <w:t>6</w:t>
            </w:r>
            <w:r>
              <w:t>79</w:t>
            </w:r>
            <w:r w:rsidRPr="008A690A">
              <w:t>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143,7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57" w:right="-57"/>
              <w:jc w:val="center"/>
            </w:pPr>
            <w:r w:rsidRPr="008A690A">
              <w:t>1</w:t>
            </w:r>
            <w: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1</w:t>
            </w:r>
            <w:r>
              <w:rPr>
                <w:bCs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snapToGrid w:val="0"/>
              </w:rPr>
            </w:pPr>
            <w:r w:rsidRPr="008A690A">
              <w:rPr>
                <w:snapToGrid w:val="0"/>
              </w:rPr>
              <w:t>1</w:t>
            </w:r>
            <w:r>
              <w:rPr>
                <w:snapToGrid w:val="0"/>
              </w:rPr>
              <w:t>40</w:t>
            </w:r>
          </w:p>
        </w:tc>
      </w:tr>
      <w:tr w:rsidR="00ED4C3B" w:rsidTr="005726F5">
        <w:tc>
          <w:tcPr>
            <w:tcW w:w="4139" w:type="dxa"/>
            <w:vAlign w:val="center"/>
          </w:tcPr>
          <w:p w:rsidR="00ED4C3B" w:rsidRDefault="00ED4C3B" w:rsidP="00ED4C3B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ind w:left="-25" w:right="-108"/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</w:pPr>
            <w:r w:rsidRPr="008A690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8A690A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3B" w:rsidRPr="004F673F" w:rsidRDefault="00ED4C3B" w:rsidP="00ED4C3B">
            <w:pPr>
              <w:jc w:val="center"/>
              <w:rPr>
                <w:bCs/>
              </w:rPr>
            </w:pPr>
            <w:r w:rsidRPr="008A690A">
              <w:rPr>
                <w:bCs/>
              </w:rP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соответственно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6. Анализ рисков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и описание мер управления рисками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Макроэкономические риски связаны с вероятностью кризисных явлений в российской </w:t>
      </w:r>
      <w:r>
        <w:lastRenderedPageBreak/>
        <w:t>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экономическое стимулирование малого и среднего бизнеса для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Возникновение данных рисков может привести к сокращению объемов и </w:t>
      </w:r>
      <w:proofErr w:type="gramStart"/>
      <w:r>
        <w:t>прекращению финансирования мероприятий Программы</w:t>
      </w:r>
      <w:proofErr w:type="gramEnd"/>
      <w: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законодательством.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4" w:name="P430"/>
      <w:bookmarkEnd w:id="4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общественного питания на территории Губкинского</w:t>
      </w:r>
    </w:p>
    <w:p w:rsidR="003A56E6" w:rsidRDefault="003A56E6">
      <w:pPr>
        <w:pStyle w:val="ConsPlusTitle"/>
        <w:jc w:val="center"/>
      </w:pPr>
      <w:r>
        <w:t>городского 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общественного питания на территории Губкинского городского округа Белгородской области" (далее - подпрограмма 1)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 для развития общедоступной сети и предприятий общественного питания на туристических маршрутах;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предоставления услуг общественного питания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1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1 на 2014 - 2025 годы составляет 356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Показатели конечных результатов реализации </w:t>
            </w:r>
            <w:r>
              <w:lastRenderedPageBreak/>
              <w:t>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lastRenderedPageBreak/>
              <w:t>1.1. Объем товарооборота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1.2. Оборот общественного питания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1.3. Количество посадочных мест в предприятиях общественного </w:t>
            </w:r>
            <w:r>
              <w:lastRenderedPageBreak/>
              <w:t>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оборота общественного питания до 653,7 млн.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оборота общественного питания на душу населения до 5,6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Количество посадочных мест в предприятиях общественного питания не менее 9600 ед.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Обеспечение населения посадочными местами в предприятиях общественного питания до 83 единицы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2010 - году 262,5 млн. рублей. 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рестораны - 7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бары - 6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кафе - 26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пиццерии - 2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(закрытая сеть) - 74 ед.; в том числе при промышленных предприятиях - 37 ед., школьные столовые - 37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(общедоступная сеть) - 4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закусочные - 28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буфеты - 13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кулинарии - 5 ед.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"Линия"; ТЦ "Европа"; мясные лавки и т.д.).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слабо развит сегмент по оказанию услуг общественного питания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</w:t>
      </w:r>
      <w:r>
        <w:lastRenderedPageBreak/>
        <w:t>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Программа кадрового обеспечения предприятий общественного питания предполагает систему подготовки, переподготовки и повышения квалификации кадров по следующим направлениям: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социально-экономической стабильности и развития отрасли);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"Губкинский горно-политехнический колледж",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"</w:t>
      </w:r>
      <w:proofErr w:type="spellStart"/>
      <w:r>
        <w:t>Старооскольский</w:t>
      </w:r>
      <w:proofErr w:type="spellEnd"/>
      <w:r>
        <w:t xml:space="preserve"> учебный центр повышения квалификации".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целях повышения уровня профессионализма, а также престижности рабочих специальностей на территории Губкинского городского округа Белгородской области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1 является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Достижение главной цели связано с решением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недостаточный уровень развития инфраструктуры (недостаток общедоступных объектов питания, высокая стоимость аренды объектов недвижимости и земли, высокая стоимость </w:t>
      </w:r>
      <w:r>
        <w:lastRenderedPageBreak/>
        <w:t>проведения работ по обеспечению инженерными коммуникациями, недостаток предприятий общественного питания в отдаленных и малочисленных населенных пунктах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общественного питания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1.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сферу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практики для создания условий развития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интенсивное развитие сферы общественного питания, повышение качества и безопасности услуг.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1 выражается в повышении качества жизни населения, увеличении количества предприятий общественного питания за счет привлечения средств фонда поддержки малого и среднего бизнеса, обеспеченности населения посадочными местами, совершенствовании системы подготовки и переподготовки кадров для сферы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Целевые показатели могут быть скорректированы при изменении внешних факторов социально-экономического развития. Достижение прогнозируемых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204"/>
        <w:gridCol w:w="737"/>
        <w:gridCol w:w="737"/>
        <w:gridCol w:w="737"/>
        <w:gridCol w:w="737"/>
        <w:gridCol w:w="737"/>
      </w:tblGrid>
      <w:tr w:rsidR="003A56E6">
        <w:tc>
          <w:tcPr>
            <w:tcW w:w="51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51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1 за 2014 - 2025 годы составит 356 тысяч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984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83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98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1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83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8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268"/>
        <w:gridCol w:w="604"/>
        <w:gridCol w:w="604"/>
        <w:gridCol w:w="604"/>
        <w:gridCol w:w="604"/>
        <w:gridCol w:w="604"/>
      </w:tblGrid>
      <w:tr w:rsidR="003A56E6">
        <w:tc>
          <w:tcPr>
            <w:tcW w:w="374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6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весь период реализации подпрограммы 1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74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6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68" w:type="dxa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5" w:name="P722"/>
      <w:bookmarkEnd w:id="5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торговли на территории Губкинского городского</w:t>
      </w:r>
    </w:p>
    <w:p w:rsidR="003A56E6" w:rsidRDefault="003A56E6">
      <w:pPr>
        <w:pStyle w:val="ConsPlusTitle"/>
        <w:jc w:val="center"/>
      </w:pPr>
      <w:r>
        <w:t>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"Развитие торговли на территории Губкинского городского округа Белгородской области" (далее - подпрограмма 2)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сбалансированного развития и размещения инфраструктуры оптовой и розничной торговли;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создание условий, направленных на развитие современных форматов торговли, в том числе развитие многофункциональных </w:t>
            </w:r>
            <w:r>
              <w:lastRenderedPageBreak/>
              <w:t>крупных торговых объектов, торговых объектов шаговой доступности;</w:t>
            </w:r>
          </w:p>
          <w:p w:rsidR="003A56E6" w:rsidRDefault="003A56E6">
            <w:pPr>
              <w:pStyle w:val="ConsPlusNormal"/>
              <w:jc w:val="both"/>
            </w:pPr>
            <w:r>
              <w:t>продвижение на потребительский рынок городского округа товаров отечественного производства, в том числе областных производителей;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и субъектами, осуществляющими производство (поставки) товаров на территории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торгового сервиса для населения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торговой деятельности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2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2 на 2014 - 2025 годы составляет 346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- 20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2.1. Объем розничного товарооборота.</w:t>
            </w:r>
          </w:p>
          <w:p w:rsidR="003A56E6" w:rsidRDefault="003A56E6">
            <w:pPr>
              <w:pStyle w:val="ConsPlusNormal"/>
              <w:jc w:val="both"/>
            </w:pPr>
            <w:r>
              <w:t>2.2. Объем розничного товарооборота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2.3. Торговая площадь.</w:t>
            </w:r>
          </w:p>
          <w:p w:rsidR="003A56E6" w:rsidRDefault="003A56E6">
            <w:pPr>
              <w:pStyle w:val="ConsPlusNormal"/>
              <w:jc w:val="both"/>
            </w:pPr>
            <w:r>
              <w:t>2.4. Обеспеченность торговыми площадями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розничного товарооборота до 32,9 млрд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розничного товарооборота на душу населения до 282,7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Торговая площадь в Губкинском городском округе Белгородской области достигнет значения 91,8 тыс. кв. м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Увеличение показателя обеспеченности населения торговыми площадями в предприятиях торговли до 788,6 кв. м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lastRenderedPageBreak/>
        <w:t>1. Характеристика сферы реализации подпрограммы 2,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Белгородской области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Губкинского городского округа Белгородской области в эксплуатацию введены 42 магазина.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Общими принципами развития розничной торговой сети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крупных универсальных розничных предприятий, торговых центров и торговых комплексов;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функционирование системы "магазинов шаговой доступности", торгующих широким ассортиментом продовольственных и непродовольственных товаров;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 торговых комплексов в жилых массивах;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зон торгового обслуживания вдоль автомагистралей и туристических маршрутов.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торговли,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Уровень развития торговли во многом определяется обеспеченностью квалифицированными кадрами.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- залог успеха любого предприятия.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Повышение уровня конкурентоспособности предприятий в решающей степени определяется качеством имеющегося персонала: его квалификацией, потенциалом, степенью сплоченности и мотивацией к высокопроизводительному труду.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хорошего профессионального уровня и способности работать по обозначенной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прочных знаний, умений и навыков по избранной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элементами общей культуры и умение применять их на практике;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знаниями основ психологии и умение работать с потребителями;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чувства адаптации к новым нестандартным условиям, принятие верных решений в сложных ситуациях.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2 является максимально полное удовлетворение потребностей населения Губкинского городского округа Белгородской области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 обуславливает решение основных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</w:t>
      </w:r>
      <w:r>
        <w:lastRenderedPageBreak/>
        <w:t>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торговли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2: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2 соответствует следующим принципам: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потребительский рынок;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программных мероприятий по реализации подпрограммы 2 приведена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Реализация комплекса мероприятий, предусмотренных подпрограммой 2, обеспечит </w:t>
      </w:r>
      <w:r>
        <w:lastRenderedPageBreak/>
        <w:t>проведение целенаправленной муниципальной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1/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20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408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2 за 2014 - 2025 годы составит 346 тысяч рублей. Объемы и источники финансирования по годам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211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55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1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2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55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1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438"/>
        <w:gridCol w:w="794"/>
        <w:gridCol w:w="737"/>
        <w:gridCol w:w="604"/>
        <w:gridCol w:w="794"/>
        <w:gridCol w:w="680"/>
      </w:tblGrid>
      <w:tr w:rsidR="003A56E6">
        <w:tc>
          <w:tcPr>
            <w:tcW w:w="300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43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II этап реализации подпрограммы 2</w:t>
            </w:r>
          </w:p>
        </w:tc>
        <w:tc>
          <w:tcPr>
            <w:tcW w:w="3609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00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43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005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005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6" w:name="P1027"/>
      <w:bookmarkEnd w:id="6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и поддержка малого и среднего предпринимательства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и поддержка малого и среднего предпринимательства в Губкинском городском округе Белгородской области" (далее - подпрограмма 3)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Обеспечение благоприятных условий для развития и комплексной поддержки субъектов малого и среднего предпринимательства в </w:t>
            </w:r>
            <w:r>
              <w:lastRenderedPageBreak/>
              <w:t>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Содействие участию в ремесленной и выставочно-ярмарочной деятельности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      </w:r>
          </w:p>
          <w:p w:rsidR="003A56E6" w:rsidRDefault="003A56E6">
            <w:pPr>
              <w:pStyle w:val="ConsPlusNormal"/>
              <w:jc w:val="both"/>
            </w:pPr>
            <w:r>
              <w:t>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      </w:r>
          </w:p>
          <w:p w:rsidR="003A56E6" w:rsidRDefault="003A56E6">
            <w:pPr>
              <w:pStyle w:val="ConsPlusNormal"/>
              <w:jc w:val="both"/>
            </w:pPr>
            <w:r>
              <w:t>4. Оказание содействия субъектам малого и среднего предпринимательства в участии в областном мероприятии "Программа "500/10000".</w:t>
            </w:r>
          </w:p>
          <w:p w:rsidR="003A56E6" w:rsidRDefault="003A56E6">
            <w:pPr>
              <w:pStyle w:val="ConsPlusNormal"/>
              <w:jc w:val="both"/>
            </w:pPr>
            <w: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годы.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годы.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подпрограммы на 2014 - 2025 годы - 85700,412 тыс. рублей, в том числе за счет средств федерального бюджета </w:t>
            </w:r>
            <w:hyperlink w:anchor="P1119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- 3515,112 тыс. рублей, средств иных источников - 14443,6 тыс. рублей,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- 19,512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- 462,2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- 1643,9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- 689,0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2022 год - </w:t>
            </w:r>
            <w:r w:rsidR="00EE7EF3">
              <w:t>87</w:t>
            </w:r>
            <w:r>
              <w:t>,</w:t>
            </w:r>
            <w:r w:rsidR="00EE7EF3">
              <w:t>7</w:t>
            </w:r>
            <w:r>
              <w:t xml:space="preserve">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2023 год - </w:t>
            </w:r>
            <w:r w:rsidR="00EE7EF3">
              <w:t>84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2024 год - </w:t>
            </w:r>
            <w:r w:rsidR="00EE7EF3">
              <w:t>84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2025 год - </w:t>
            </w:r>
            <w:r w:rsidR="00EE7EF3">
              <w:t>84</w:t>
            </w:r>
            <w:r>
              <w:t>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подпрограммы 3 кроме того предусмотрено в 2014 - 2025 годах предоставление муниципальной гарантии Губкинского городского округа Белгородской области в объеме 3 млн. рублей </w:t>
            </w:r>
            <w:hyperlink w:anchor="P1117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3.1. Оборот малых и средних предприятий в действующих ценах.</w:t>
            </w:r>
          </w:p>
          <w:p w:rsidR="003A56E6" w:rsidRDefault="003A56E6">
            <w:pPr>
              <w:pStyle w:val="ConsPlusNormal"/>
              <w:jc w:val="both"/>
            </w:pPr>
            <w:r>
              <w:t>3.2. Доля занятых в малом бизнесе, включая ИП, в общей численности занятых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подпрограммы 3 </w:t>
            </w:r>
            <w:hyperlink w:anchor="P111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годового оборота малых и средних предприятий в действующих ценах по годам до 20,4 млрд. рублей в 2020 году, до 27,3 млрд. рублей в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Достижение уровня доли занятых в малом и среднем бизнесе, включая ИП, в общей численности занятых к 2020 году 27,5%, к 2025 году - 31,1%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7" w:name="P1117"/>
      <w:bookmarkEnd w:id="7"/>
      <w:r>
        <w:t>&lt;*&gt; решением Совета депутатов Губкинского городского округа Белгородской области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8" w:name="P1118"/>
      <w:bookmarkEnd w:id="8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9" w:name="P1119"/>
      <w:bookmarkEnd w:id="9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Одним из важнейших блоков Программы является стимулирование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В рамках подпрограммы 3 предусматривается совершенствование инфраструктуры поддержки малого и среднего предпринимательства, а также повышение доступности финансовых ресурсов для субъектов малого и среднего предпринимательства; обеспечение информационной и консультационной поддержки, а также поддержки субъектов малого и среднего предпринимательства в области ремесленной и выставочно-ярмарочной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1.1. Общая оценка ситуации на основе</w:t>
      </w:r>
    </w:p>
    <w:p w:rsidR="003A56E6" w:rsidRDefault="003A56E6">
      <w:pPr>
        <w:pStyle w:val="ConsPlusNormal"/>
        <w:jc w:val="center"/>
      </w:pPr>
      <w:r>
        <w:t>динамики главных показателей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Субъекты малого и среднего предпринимательства играют весьма важную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поддержку субъектам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907"/>
        <w:gridCol w:w="850"/>
        <w:gridCol w:w="964"/>
        <w:gridCol w:w="964"/>
      </w:tblGrid>
      <w:tr w:rsidR="003A56E6">
        <w:tc>
          <w:tcPr>
            <w:tcW w:w="5386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Создано рабочих мест,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Оборот малых и средних предприятий, млн. руб.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10 153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9 430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9 978,9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9 999,5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налоговых поступлений от малого предпринимательства в общей сумме налоговых доходов консолидированного бюджета муниципального образования,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9,26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</w:tr>
      <w:tr w:rsidR="003A56E6">
        <w:tc>
          <w:tcPr>
            <w:tcW w:w="5386" w:type="dxa"/>
          </w:tcPr>
          <w:p w:rsidR="003A56E6" w:rsidRDefault="003A56E6">
            <w:pPr>
              <w:pStyle w:val="ConsPlusNormal"/>
            </w:pPr>
            <w:r>
              <w:t>Среднесписочная численность работников (без внешних совместителей) по малым и средним предприятиям, тыс. чел.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8,76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8,42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Создание рабочих мест в малом и среднем бизнесе,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lastRenderedPageBreak/>
              <w:t>Доля муниципальных закупок у субъектов малого предпринимательства,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11,86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12,77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13,66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14,77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поддержки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50"/>
        <w:gridCol w:w="907"/>
        <w:gridCol w:w="850"/>
        <w:gridCol w:w="850"/>
        <w:gridCol w:w="844"/>
      </w:tblGrid>
      <w:tr w:rsidR="003A56E6">
        <w:tc>
          <w:tcPr>
            <w:tcW w:w="476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Показатели поддержки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2013 г.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Обратились за консультацией по вопросу ведения предпринимательской деятельности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Льготные займы в БОФПМСП: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4962,0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7260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7670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Гранты начинающим предпринимателям: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2310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Субсидирование лизинговых договоров, ед.,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1104,4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Выдано рекомендаций для обращения в БОФПМСП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Празднование Дня российского предпринимательства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Имущественная поддержка СМП в форме: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bottom w:val="nil"/>
            </w:tcBorders>
          </w:tcPr>
          <w:p w:rsidR="003A56E6" w:rsidRDefault="003A56E6">
            <w:pPr>
              <w:pStyle w:val="ConsPlusNormal"/>
            </w:pPr>
            <w:r>
              <w:t>- муниципальной преференции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top w:val="nil"/>
            </w:tcBorders>
          </w:tcPr>
          <w:p w:rsidR="003A56E6" w:rsidRDefault="003A56E6">
            <w:pPr>
              <w:pStyle w:val="ConsPlusNormal"/>
            </w:pPr>
            <w:r>
              <w:t>- арендная плата в год, тыс. руб.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531,99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701,3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реализации преимущественного права приобретения арендуемого имущества с рассрочкой на 4 года, единиц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стоимость имущества,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2868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8377,2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1803,7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 xml:space="preserve">Субсидии ЛПХ и КФХ в целях развития кредитных потребительских кооперативов, сельскохозяйственных потребительских кооперативов, крестьянских (фермерских) хозяйств и других малых форм хозяйствования </w:t>
            </w:r>
            <w:r>
              <w:lastRenderedPageBreak/>
              <w:t>на селе: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просубсидировано кредитов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на сумму субсидий,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1776,5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1520,7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2107,7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3672,2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1.2. Анализ причин возникновения проблемы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период 2014 - 2025 годов для поддержки и развития субъектов малого и среднего предпринимательства Губкинского городского округа Белгородской области актуально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деятельности,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1.3. Связь с приоритетами социально-экономического развития</w:t>
      </w:r>
    </w:p>
    <w:p w:rsidR="003A56E6" w:rsidRDefault="003A56E6">
      <w:pPr>
        <w:pStyle w:val="ConsPlusNormal"/>
        <w:jc w:val="center"/>
      </w:pPr>
      <w:r>
        <w:t>Губкинского городского округа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Содержание и мероприятия подпрограммы 3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подпрограммы 3 соответствуют 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1.4. Обоснование необходимости решения</w:t>
      </w:r>
    </w:p>
    <w:p w:rsidR="003A56E6" w:rsidRDefault="003A56E6">
      <w:pPr>
        <w:pStyle w:val="ConsPlusNormal"/>
        <w:jc w:val="center"/>
      </w:pPr>
      <w:r>
        <w:t>проблемы программно-целевым методом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В период реализации подпрограммы 3 будет реализовываться комплекс мер, направленных на активизацию развития предпринимательства, а также совершенствование инфраструктуры </w:t>
      </w:r>
      <w:r>
        <w:lastRenderedPageBreak/>
        <w:t>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подпрограммы 3.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Базовыми положениями подпрограммы 3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муниципальная поддержка малого и среднего предпринимательства, осуществляемая на основе соблюдения взаимовыгодного сотрудничества предпринимателей, органов государственной власти и местного самоуправления.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заявленной цели потребует решения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2.1. Содействие участию в ремесленной и выставочно-ярмарочной деятельности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2.4. Оказание содействия субъектам малого и среднего предпринимательства Губкинского городского округа Белгородской области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Участниками Программы "500/10000"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2017 по 2022 годы в сферах экономической деятельности, предусмотренных </w:t>
      </w:r>
      <w:hyperlink r:id="rId35">
        <w:r>
          <w:rPr>
            <w:color w:val="0000FF"/>
          </w:rPr>
          <w:t>разделами A</w:t>
        </w:r>
      </w:hyperlink>
      <w:r>
        <w:t xml:space="preserve">, </w:t>
      </w:r>
      <w:hyperlink r:id="rId36">
        <w:r>
          <w:rPr>
            <w:color w:val="0000FF"/>
          </w:rPr>
          <w:t>C</w:t>
        </w:r>
      </w:hyperlink>
      <w:r>
        <w:t xml:space="preserve">, </w:t>
      </w:r>
      <w:hyperlink r:id="rId37">
        <w:r>
          <w:rPr>
            <w:color w:val="0000FF"/>
          </w:rPr>
          <w:t>F</w:t>
        </w:r>
      </w:hyperlink>
      <w:r>
        <w:t xml:space="preserve">, </w:t>
      </w:r>
      <w:hyperlink r:id="rId38">
        <w:r>
          <w:rPr>
            <w:color w:val="0000FF"/>
          </w:rPr>
          <w:t>I</w:t>
        </w:r>
      </w:hyperlink>
      <w:r>
        <w:t xml:space="preserve">, </w:t>
      </w:r>
      <w:hyperlink r:id="rId39">
        <w:r>
          <w:rPr>
            <w:color w:val="0000FF"/>
          </w:rPr>
          <w:t>M</w:t>
        </w:r>
      </w:hyperlink>
      <w:r>
        <w:t xml:space="preserve">, </w:t>
      </w:r>
      <w:hyperlink r:id="rId40">
        <w:r>
          <w:rPr>
            <w:color w:val="0000FF"/>
          </w:rPr>
          <w:t>S</w:t>
        </w:r>
      </w:hyperlink>
      <w:r>
        <w:t xml:space="preserve"> Общероссийского классификатора видов экономической деятельности (ОК 029 - 2014 (КДЕС Ред. 2), утвержденного Приказом </w:t>
      </w:r>
      <w:proofErr w:type="spellStart"/>
      <w:r>
        <w:t>Росстандарта</w:t>
      </w:r>
      <w:proofErr w:type="spellEnd"/>
      <w:r>
        <w:t xml:space="preserve"> от 31 января 2014 года N 14-ст.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2.5. 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Государственная поддержка физических лиц, не являющихся индивидуальными предпринимателями и применяющих специальный налоговый режим "Налог на профессиональный доход", предусмотренная статьями 17 - 21, 23, 25 настоящего Федерального закона, и поддержка, предоставляемая АО "Корпорация МОП" и ее дочерними обществами, осуществляется в порядке и </w:t>
      </w:r>
      <w:r>
        <w:lastRenderedPageBreak/>
        <w:t>на условиях, которые установлены частями 2 - 6 статьи 14 указанного Федерального закона.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</w:t>
      </w:r>
      <w:hyperlink r:id="rId42">
        <w:r>
          <w:rPr>
            <w:color w:val="0000FF"/>
          </w:rPr>
          <w:t>статьей 15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Федерации", оказывающих субъектам малого и среднего предпринимательства следующие формы поддержки: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финансовую;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имущественную;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консультационную;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подготовки, переподготовки и повышения квалификации работников;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инноваций и промышленного производства, ремесленничества;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внешнеэкономическую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сельскохозяйственную деятельность.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2.6. Повышение доступности финансовых ресурсов для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Начиная с 2021 года субсидии в рамках реализации национального проекта "Малое и среднее предпринимательство и поддержка индивидуальной предпринимательской инициативы" предоставляются Белгородской области по направлениям, предусмотренным следующими федеральными (региональными) проектами: проектом 3.12 "Создание благоприятных условий для осуществления деятельности </w:t>
      </w:r>
      <w:proofErr w:type="spellStart"/>
      <w:r>
        <w:t>самозанятыми</w:t>
      </w:r>
      <w:proofErr w:type="spellEnd"/>
      <w:r>
        <w:t xml:space="preserve"> гражданами", проектом 3.14 "Создание условий для легкого старта и комфортного ведения бизнеса", проектом 3.15 "Акселерация субъектов малого и среднего предпринимательства", в том числе: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реализация проекта 3.12 "Создание благоприятных условий для осуществления деятельности </w:t>
      </w:r>
      <w:proofErr w:type="spellStart"/>
      <w:r>
        <w:t>самозанятыми</w:t>
      </w:r>
      <w:proofErr w:type="spellEnd"/>
      <w:r>
        <w:t xml:space="preserve"> гражданами".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3.14 "Создание условий для легкого старта и комфортного ведения бизнеса".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"Мой бизнес", а также в федеральных институтах развития;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3.15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 2021 года в рамках проекта продолжится оказание комплекса услуг, сервисов и мер поддержки субъектам малого и среднего предпринимательства в центре "Мой бизнес",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"Центр координации поддержки </w:t>
      </w:r>
      <w:proofErr w:type="spellStart"/>
      <w:r>
        <w:t>экспортно</w:t>
      </w:r>
      <w:proofErr w:type="spellEnd"/>
      <w:r>
        <w:t xml:space="preserve"> ориентированных субъектов малого и среднего предпринимательства Белгородской области", также созданную в марте 2019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 Белгородской области: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производственная и инновационная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природоохранная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переработка вторичного сырья;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сельское хозяйство;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рыбоводство;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оптово-розничной торговли, общественного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предпринимательской деятельности в сфере жилищно-коммунального хозяйства;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организация групп дневного времяпрепровождения детей дошкольного возраста и создание дошкольных образовательных центров;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 комплексов по оказанию социальных, бытовых, торговых услуг;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дворовых, детских и спортивных площадок;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малых форм хозяйствования на селе;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социальное предпринимательство;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деятельность в области народно-художественных промыслов, ремесленной деятельности, сельского и экологического туризма.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3: 2014 - 2025 годы, I этап: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2014 - 2020 годы, II этап: 2021 - 2025 годы.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3A56E6" w:rsidRDefault="003A56E6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заявленной цели и решение поставленных задач подпрограммы 3 будет осуществляться путем реализации основных мероприятий: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 "Мероприятие по поддержке субъектов малого и среднего предпринимательства в области ремесленной и выставочно-ярмарочной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3.2. "Возмещение части процентной ставки по долгосрочным, среднесрочным и краткосрочным кредитам, взятым малыми формами хозяйствования".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3.3.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Планируется реализация мероприятий по следующим направлениям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ремесленной и выставочно-ярмарочной деятельности: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3.1.1.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"круглых столов", конкурсах предпринимателей по различным номинациям".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3.1.2. "Проведение ежегодного городского конкурса "Губкинский предприниматель", приуроченного к празднованию Дня российского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3.1.3. "Информационно-образовательная подготовка жителей Губкинского городского округа Белгородской области к ведению предпринимательской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3.1.4.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3.1.5. "Организация мероприятий информационного характера в целях развития ТОСЭР "Губкин" и привлечения новых резидентов";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финансовой поддержки малого и среднего предпринимательства, а также совершенствования инфраструктуры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3.3.1.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3.3.2.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3.3.3.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3.3.4.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</w:r>
      <w:proofErr w:type="gramStart"/>
      <w:r>
        <w:t>развития</w:t>
      </w:r>
      <w:proofErr w:type="gramEnd"/>
      <w:r>
        <w:t xml:space="preserve">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3.3.5.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нормативно-правовое обеспечение мероприятий по развитию и поддержке субъектов малого и среднего предпринимательства, в частности 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</w:t>
      </w:r>
      <w:r>
        <w:lastRenderedPageBreak/>
        <w:t>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финансово-кредитной и имущественной поддержке 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сопровождение предпринимателей, организующих бизнес в сельских территориях Губкинского городского округа Белгородской области, в частности по вопросам: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а) аренды муниципальных инвестиционных площадок и земельных участков, находящихся в муниципальной собственности;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получения финансовой поддержки;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подключения к объектам инфраструктуры.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субъектам малого и среднего предпринимательства в рамках Программы "500/10000" предоставляются муниципальные преференции в виде предоставления земельных участков, находящихся в собственности Губкинского городского округа Белгородской области и государственная собственность на которые не разграничена, без торгов с размером арендной платы 0,01% от кадастровой стоимости земельного участка в год на период строительства;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субъектов малого и среднего предпринимательства в области инноваций и промышленного производства, что предусматривает 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организации работы межведомственного координационного совета при главе администрации Губкинского городского округа по защите интересов субъектов малого и среднего предпринимательства,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социально-экономическом развитии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кадрового потенциала в сфере малого и среднего предпринимательства - посредством создания условий для повышения профессиональных знаний специалистов, относящихся к социально не 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-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В результате реализации подпрограммы 3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увеличение годового оборота малых и средних предприятий,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- 12,27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- 12,83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- 17,28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- 18,13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- 19,02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- 19,78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- 20,40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- 21,40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- 22,80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- 24,30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- 25,70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- 27,30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достижение уровня доли занятых в малом и среднем бизнесе, включая ИП, в общей численности занятых к 2025 году 31,1%,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подпрограммы 3 будет способствовать повышению роли малого и среднего предпринимательства в экономических процессах городского округа, улучшению отраслевой структуры малого и среднего предпринимательства и диверсификации экономики за счет развития производственных и инновационных видов предпринимательской деятельности, росту занятости населения.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подпрограммы 3 на 2014 - 2025 годы, I этап: 2014 - 2020 годы, II этап: 2021 - 2025 годы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247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19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7095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85360,412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3175,112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928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794"/>
        <w:gridCol w:w="794"/>
        <w:gridCol w:w="737"/>
        <w:gridCol w:w="680"/>
        <w:gridCol w:w="680"/>
      </w:tblGrid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5499" w:type="dxa"/>
            <w:gridSpan w:val="6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6D6FB9" w:rsidTr="00FA0DB8">
        <w:tc>
          <w:tcPr>
            <w:tcW w:w="3572" w:type="dxa"/>
            <w:vAlign w:val="bottom"/>
          </w:tcPr>
          <w:p w:rsidR="006D6FB9" w:rsidRDefault="006D6FB9" w:rsidP="006D6FB9">
            <w:pPr>
              <w:pStyle w:val="ConsPlusNormal"/>
            </w:pPr>
            <w:bookmarkStart w:id="10" w:name="_GoBack" w:colFirst="1" w:colLast="6"/>
            <w:r>
              <w:t>Всего, в том числе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ind w:left="-25" w:right="-108"/>
              <w:jc w:val="center"/>
            </w:pPr>
            <w:r>
              <w:t>399,7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 w:rsidRPr="00711505">
              <w:rPr>
                <w:snapToGrid w:val="0"/>
              </w:rPr>
              <w:t>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87,7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</w:pPr>
            <w: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84</w:t>
            </w:r>
          </w:p>
        </w:tc>
      </w:tr>
      <w:tr w:rsidR="006D6FB9" w:rsidTr="00FA0DB8">
        <w:tc>
          <w:tcPr>
            <w:tcW w:w="3572" w:type="dxa"/>
            <w:vAlign w:val="bottom"/>
          </w:tcPr>
          <w:p w:rsidR="006D6FB9" w:rsidRDefault="006D6FB9" w:rsidP="006D6FB9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ind w:right="-57"/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ind w:right="-57"/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ind w:right="-57"/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ind w:right="-57"/>
              <w:jc w:val="center"/>
              <w:rPr>
                <w:bCs/>
              </w:rPr>
            </w:pPr>
            <w:r w:rsidRPr="00711505">
              <w:rPr>
                <w:bCs/>
              </w:rPr>
              <w:t>0</w:t>
            </w:r>
          </w:p>
        </w:tc>
      </w:tr>
      <w:tr w:rsidR="006D6FB9" w:rsidTr="00FA0DB8">
        <w:tc>
          <w:tcPr>
            <w:tcW w:w="3572" w:type="dxa"/>
          </w:tcPr>
          <w:p w:rsidR="006D6FB9" w:rsidRDefault="006D6FB9" w:rsidP="006D6FB9">
            <w:pPr>
              <w:pStyle w:val="ConsPlusNormal"/>
            </w:pPr>
            <w:r>
              <w:t>областной бюджет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</w:pPr>
            <w:r w:rsidRPr="00711505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 w:rsidRPr="00711505">
              <w:rPr>
                <w:snapToGrid w:val="0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rFonts w:eastAsia="Calibri"/>
              </w:rPr>
            </w:pPr>
            <w:r w:rsidRPr="00711505">
              <w:rPr>
                <w:rFonts w:eastAsia="Calibri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rFonts w:eastAsia="Calibri"/>
              </w:rPr>
            </w:pPr>
            <w:r w:rsidRPr="00711505">
              <w:rPr>
                <w:rFonts w:eastAsia="Calibri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rFonts w:eastAsia="Calibri"/>
              </w:rPr>
            </w:pPr>
            <w:r w:rsidRPr="00711505">
              <w:rPr>
                <w:rFonts w:eastAsia="Calibri"/>
              </w:rPr>
              <w:t>0</w:t>
            </w:r>
          </w:p>
        </w:tc>
      </w:tr>
      <w:tr w:rsidR="006D6FB9" w:rsidTr="00FA0DB8">
        <w:tc>
          <w:tcPr>
            <w:tcW w:w="3572" w:type="dxa"/>
          </w:tcPr>
          <w:p w:rsidR="006D6FB9" w:rsidRDefault="006D6FB9" w:rsidP="006D6FB9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FB9" w:rsidRPr="005A1F24" w:rsidRDefault="006D6FB9" w:rsidP="006D6FB9">
            <w:pPr>
              <w:ind w:left="-25" w:right="-108"/>
              <w:jc w:val="center"/>
            </w:pPr>
            <w:r>
              <w:t>399,7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 w:rsidRPr="00711505">
              <w:rPr>
                <w:snapToGrid w:val="0"/>
              </w:rPr>
              <w:t>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87,7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</w:pPr>
            <w: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FB9" w:rsidRPr="00711505" w:rsidRDefault="006D6FB9" w:rsidP="006D6FB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84</w:t>
            </w:r>
          </w:p>
        </w:tc>
      </w:tr>
      <w:tr w:rsidR="006D6FB9" w:rsidTr="00FA0DB8">
        <w:tc>
          <w:tcPr>
            <w:tcW w:w="3572" w:type="dxa"/>
          </w:tcPr>
          <w:p w:rsidR="006D6FB9" w:rsidRDefault="006D6FB9" w:rsidP="006D6FB9">
            <w:pPr>
              <w:pStyle w:val="ConsPlusNormal"/>
            </w:pPr>
            <w:r>
              <w:t>иные источники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FB9" w:rsidRPr="009E21F7" w:rsidRDefault="006D6FB9" w:rsidP="006D6FB9">
            <w:pPr>
              <w:ind w:left="-25" w:right="-108"/>
              <w:jc w:val="center"/>
            </w:pPr>
            <w:r w:rsidRPr="009E21F7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9E21F7" w:rsidRDefault="006D6FB9" w:rsidP="006D6FB9">
            <w:pPr>
              <w:jc w:val="center"/>
            </w:pPr>
            <w:r w:rsidRPr="009E21F7"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</w:pPr>
            <w:r w:rsidRPr="0001668A"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</w:pPr>
            <w:r w:rsidRPr="0001668A"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  <w:rPr>
                <w:bCs/>
              </w:rPr>
            </w:pPr>
            <w:r w:rsidRPr="0001668A">
              <w:rPr>
                <w:bCs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B9" w:rsidRPr="0001668A" w:rsidRDefault="006D6FB9" w:rsidP="006D6FB9">
            <w:pPr>
              <w:jc w:val="center"/>
              <w:rPr>
                <w:bCs/>
              </w:rPr>
            </w:pPr>
            <w:r w:rsidRPr="0001668A">
              <w:rPr>
                <w:bCs/>
              </w:rPr>
              <w:t>0</w:t>
            </w:r>
          </w:p>
        </w:tc>
      </w:tr>
      <w:bookmarkEnd w:id="10"/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Белгородской области по годам представлены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1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1" w:name="P1559"/>
      <w:bookmarkEnd w:id="11"/>
      <w:r>
        <w:t>Система основных мероприятий (мероприятий) и показателей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 w:rsidSect="00F36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1129"/>
        <w:gridCol w:w="979"/>
        <w:gridCol w:w="664"/>
        <w:gridCol w:w="664"/>
        <w:gridCol w:w="664"/>
        <w:gridCol w:w="664"/>
        <w:gridCol w:w="664"/>
        <w:gridCol w:w="664"/>
        <w:gridCol w:w="72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6816" w:type="dxa"/>
            <w:gridSpan w:val="9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2012 год (базовый)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2013 год (оценка)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2020 год (итог)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</w:t>
            </w:r>
          </w:p>
          <w:p w:rsidR="003A56E6" w:rsidRDefault="003A56E6">
            <w:pPr>
              <w:pStyle w:val="ConsPlusNormal"/>
            </w:pPr>
            <w:r>
              <w:t>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 Объем товарооборота общественного питания, млн.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346,1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1.3. 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70,7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1.1.2. Количество предприятий, внедривших форму обслуживания </w:t>
            </w:r>
            <w:proofErr w:type="spellStart"/>
            <w:r>
              <w:t>кейтеринг</w:t>
            </w:r>
            <w:proofErr w:type="spellEnd"/>
            <w:r>
              <w:t xml:space="preserve">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14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услуг и защиты прав </w:t>
            </w:r>
            <w:r>
              <w:lastRenderedPageBreak/>
              <w:t>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13,1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108,8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64,9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</w:t>
            </w:r>
            <w:proofErr w:type="gramStart"/>
            <w:r>
              <w:t>сложно-бытовой</w:t>
            </w:r>
            <w:proofErr w:type="gramEnd"/>
            <w:r>
              <w:t xml:space="preserve"> и компьютерной техники, продажа товаров в рассрочку, заказ товаров по каталогам), нарастающим итогом,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Подпрограмма 3 "Развитие и </w:t>
            </w:r>
            <w:r>
              <w:lastRenderedPageBreak/>
              <w:t>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 Оборот малых и </w:t>
            </w:r>
            <w:r>
              <w:lastRenderedPageBreak/>
              <w:t>средних предприятий в действующих ценах,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9,99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11,14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17,28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18,13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19,02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19,78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3706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3282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2699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предпринимателей по различным номинациям,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3.1.2 "Проведение </w:t>
            </w:r>
            <w:r>
              <w:lastRenderedPageBreak/>
              <w:t>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3.1.2.1. Количество </w:t>
            </w:r>
            <w:r>
              <w:lastRenderedPageBreak/>
              <w:t>организованных мероприятий по празднованию Дня российского предпринимательства,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"Губкин",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3.2 "Возмещение части процентной ставки по долгосрочным, 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3.2.1. Количество просубсидированных кредитов КФХ и ЛПХ,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8,98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8,17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3.3.2.1. Количество субъектов малого и среднего 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</w:t>
            </w:r>
            <w:r>
              <w:lastRenderedPageBreak/>
              <w:t>выплатами по передаче прав на франшизу (паушальный взнос),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3.3.3.1.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664"/>
        <w:gridCol w:w="664"/>
        <w:gridCol w:w="664"/>
        <w:gridCol w:w="664"/>
        <w:gridCol w:w="66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 год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Объем товарооборота общественного питания, млн.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1.3. Количество посадочных мест в предприятиях общественного питания, </w:t>
            </w:r>
            <w:r>
              <w:lastRenderedPageBreak/>
              <w:t>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1.1.2. Количество предприятий, внедривших форму обслуживания </w:t>
            </w:r>
            <w:proofErr w:type="spellStart"/>
            <w:r>
              <w:t>кейтеринг</w:t>
            </w:r>
            <w:proofErr w:type="spellEnd"/>
            <w:r>
              <w:t xml:space="preserve">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</w:t>
            </w:r>
            <w:r>
              <w:lastRenderedPageBreak/>
              <w:t>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90.5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</w:t>
            </w:r>
            <w:proofErr w:type="gramStart"/>
            <w:r>
              <w:t>сложно-бытовой</w:t>
            </w:r>
            <w:proofErr w:type="gramEnd"/>
            <w:r>
              <w:t xml:space="preserve"> и компьютерной техники, продажа товаров в рассрочку, заказ товаров </w:t>
            </w:r>
            <w:r>
              <w:lastRenderedPageBreak/>
              <w:t>по каталогам), нарастающим итогом,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 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Оборот малых и средних предприятий в действующих ценах,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24.3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2585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2620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</w:t>
            </w:r>
            <w:r>
              <w:lastRenderedPageBreak/>
              <w:t>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</w:t>
            </w:r>
            <w:r>
              <w:lastRenderedPageBreak/>
              <w:t>предпринимателей по различным номинациям,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3.1.2 "Проведение 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3.1.2.1. Количество организованных мероприятий по празднованию Дня российского предпринимательства,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Губкин",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3.2 "Возмещение части процентной ставки по долгосрочным, </w:t>
            </w:r>
            <w:r>
              <w:lastRenderedPageBreak/>
              <w:t>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3.2.1. Количество просубсидированных кредитов КФХ и ЛПХ,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</w:t>
            </w:r>
            <w:r>
              <w:lastRenderedPageBreak/>
              <w:t>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экономики и </w:t>
            </w:r>
            <w:r>
              <w:lastRenderedPageBreak/>
              <w:t>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3.3.2.1. Количество субъектов малого и среднего предпринимательства, получателей субсидии на условиях долевого </w:t>
            </w:r>
            <w:r>
              <w:lastRenderedPageBreak/>
              <w:t>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</w:t>
            </w:r>
          </w:p>
          <w:p w:rsidR="003A56E6" w:rsidRDefault="003A56E6">
            <w:pPr>
              <w:pStyle w:val="ConsPlusNormal"/>
            </w:pPr>
            <w:r>
              <w:t>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3.3.3.2.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2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2" w:name="P2330"/>
      <w:bookmarkEnd w:id="12"/>
      <w:r>
        <w:t>Основные меры правового регулирования в сфере реализации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84"/>
        <w:gridCol w:w="2324"/>
        <w:gridCol w:w="2494"/>
        <w:gridCol w:w="1774"/>
      </w:tblGrid>
      <w:tr w:rsidR="003A56E6">
        <w:tc>
          <w:tcPr>
            <w:tcW w:w="48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3A56E6">
        <w:tc>
          <w:tcPr>
            <w:tcW w:w="906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"Об утверждении положения о проведении конкурса профессионального мастерства"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 проведении конкурса на лучшее предприятие торговли"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3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r>
        <w:t>Ресурсное обеспечение и прогнозная (справочная) оценка</w:t>
      </w:r>
    </w:p>
    <w:p w:rsidR="003A56E6" w:rsidRDefault="003A56E6">
      <w:pPr>
        <w:pStyle w:val="ConsPlusTitle"/>
        <w:jc w:val="center"/>
      </w:pPr>
      <w:r>
        <w:t>расходов на реализацию основных мероприятий (мероприятий)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Title"/>
        <w:jc w:val="center"/>
      </w:pPr>
      <w:r>
        <w:t>из различных источников финансирования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659"/>
        <w:gridCol w:w="1864"/>
        <w:gridCol w:w="1024"/>
        <w:gridCol w:w="784"/>
        <w:gridCol w:w="604"/>
        <w:gridCol w:w="724"/>
        <w:gridCol w:w="904"/>
        <w:gridCol w:w="904"/>
        <w:gridCol w:w="964"/>
      </w:tblGrid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90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6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1 1670,2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3074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4294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108,75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296,25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16923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8868,6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34676,7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15058,4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3340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1637,6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1146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6483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6157,4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27500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59"/>
        <w:gridCol w:w="2324"/>
        <w:gridCol w:w="604"/>
        <w:gridCol w:w="604"/>
        <w:gridCol w:w="604"/>
        <w:gridCol w:w="604"/>
        <w:gridCol w:w="604"/>
      </w:tblGrid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3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020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 xml:space="preserve">областной бюджет </w:t>
            </w:r>
            <w:r>
              <w:lastRenderedPageBreak/>
              <w:t>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  <w:vAlign w:val="bottom"/>
          </w:tcPr>
          <w:p w:rsidR="003A56E6" w:rsidRDefault="003A56E6">
            <w:pPr>
              <w:pStyle w:val="ConsPlusNormal"/>
            </w:pPr>
            <w:r>
              <w:t xml:space="preserve"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</w:t>
            </w:r>
            <w:r>
              <w:lastRenderedPageBreak/>
              <w:t>предпринимательской инициативы"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4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3" w:name="P3395"/>
      <w:bookmarkEnd w:id="13"/>
      <w:r>
        <w:t>Ресурсное обеспечение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"Развитие экономического потенциала и формирование</w:t>
      </w:r>
    </w:p>
    <w:p w:rsidR="003A56E6" w:rsidRDefault="003A56E6">
      <w:pPr>
        <w:pStyle w:val="ConsPlusTitle"/>
        <w:jc w:val="center"/>
      </w:pPr>
      <w:r>
        <w:t>благоприятного 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 за счет средств</w:t>
      </w:r>
    </w:p>
    <w:p w:rsidR="003A56E6" w:rsidRDefault="003A56E6">
      <w:pPr>
        <w:pStyle w:val="ConsPlusTitle"/>
        <w:jc w:val="center"/>
      </w:pPr>
      <w:r>
        <w:t>бюджета Губкинского городского округа Белгородской области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04"/>
        <w:gridCol w:w="1939"/>
        <w:gridCol w:w="694"/>
        <w:gridCol w:w="1339"/>
        <w:gridCol w:w="784"/>
        <w:gridCol w:w="664"/>
        <w:gridCol w:w="604"/>
        <w:gridCol w:w="784"/>
        <w:gridCol w:w="784"/>
        <w:gridCol w:w="784"/>
        <w:gridCol w:w="664"/>
      </w:tblGrid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06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lastRenderedPageBreak/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</w:t>
            </w:r>
            <w:r>
              <w:lastRenderedPageBreak/>
              <w:t>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выставочно-ярмарочной деятельности субъектов малого и среднего предпринимательства, организация участия субъектов малого и </w:t>
            </w:r>
            <w:r>
              <w:lastRenderedPageBreak/>
              <w:t>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</w:t>
            </w:r>
            <w:r>
              <w:lastRenderedPageBreak/>
              <w:t>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13,05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18,95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</w:t>
            </w:r>
            <w:r>
              <w:lastRenderedPageBreak/>
              <w:t>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Возмещение части процентной </w:t>
            </w:r>
            <w:r>
              <w:lastRenderedPageBreak/>
              <w:t>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</w:t>
            </w:r>
            <w:r>
              <w:lastRenderedPageBreak/>
              <w:t>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23,648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76,352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83,54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33,64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201,38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604"/>
        <w:gridCol w:w="1939"/>
        <w:gridCol w:w="694"/>
        <w:gridCol w:w="1339"/>
        <w:gridCol w:w="634"/>
        <w:gridCol w:w="634"/>
        <w:gridCol w:w="634"/>
        <w:gridCol w:w="634"/>
        <w:gridCol w:w="634"/>
      </w:tblGrid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17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</w:t>
            </w:r>
            <w:r>
              <w:lastRenderedPageBreak/>
              <w:t>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</w:t>
            </w:r>
            <w:r>
              <w:lastRenderedPageBreak/>
              <w:t>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Возмещение части процентной ставки по долгосрочным, среднесрочным и краткосрочным </w:t>
            </w:r>
            <w:r>
              <w:lastRenderedPageBreak/>
              <w:t>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(возмещение) части затрат субъектов малого и среднего предпринимательства, осуществляющих деятельность в </w:t>
            </w:r>
            <w:r>
              <w:lastRenderedPageBreak/>
              <w:t>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</w:t>
            </w:r>
            <w:r>
              <w:lastRenderedPageBreak/>
              <w:t>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5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right"/>
      </w:pPr>
    </w:p>
    <w:p w:rsidR="003A56E6" w:rsidRDefault="003A56E6">
      <w:pPr>
        <w:pStyle w:val="ConsPlusTitle"/>
        <w:jc w:val="center"/>
      </w:pPr>
      <w:r>
        <w:t>Сведения</w:t>
      </w:r>
    </w:p>
    <w:p w:rsidR="003A56E6" w:rsidRDefault="003A56E6">
      <w:pPr>
        <w:pStyle w:val="ConsPlusTitle"/>
        <w:jc w:val="center"/>
      </w:pPr>
      <w:r>
        <w:t>о методике расчета показателей конечного результата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204"/>
        <w:gridCol w:w="6633"/>
        <w:gridCol w:w="1639"/>
        <w:gridCol w:w="1714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3A56E6">
        <w:tc>
          <w:tcPr>
            <w:tcW w:w="13572" w:type="dxa"/>
            <w:gridSpan w:val="6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Кпм</w:t>
            </w:r>
            <w:proofErr w:type="spellEnd"/>
            <w:r>
              <w:t xml:space="preserve"> = Кпм1 + Кпм2 + Кпм3 + </w:t>
            </w:r>
            <w:proofErr w:type="spellStart"/>
            <w:r>
              <w:t>Кпмп</w:t>
            </w:r>
            <w:proofErr w:type="spellEnd"/>
          </w:p>
          <w:p w:rsidR="003A56E6" w:rsidRDefault="003A56E6">
            <w:pPr>
              <w:pStyle w:val="ConsPlusNormal"/>
              <w:jc w:val="center"/>
            </w:pPr>
            <w: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Отп</w:t>
            </w:r>
            <w:proofErr w:type="spellEnd"/>
            <w:r>
              <w:t xml:space="preserve"> = </w:t>
            </w:r>
            <w:proofErr w:type="spellStart"/>
            <w:r>
              <w:t>Sтп</w:t>
            </w:r>
            <w:proofErr w:type="spellEnd"/>
            <w:r>
              <w:t xml:space="preserve"> / </w:t>
            </w:r>
            <w:proofErr w:type="spellStart"/>
            <w:r>
              <w:t>Чнас</w:t>
            </w:r>
            <w:proofErr w:type="spellEnd"/>
            <w:r>
              <w:t xml:space="preserve"> * 1000, где: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Отп</w:t>
            </w:r>
            <w:proofErr w:type="spellEnd"/>
            <w:r>
              <w:t xml:space="preserve"> - обеспеченность торговыми площадями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Sтп</w:t>
            </w:r>
            <w:proofErr w:type="spellEnd"/>
            <w:r>
              <w:t xml:space="preserve"> - площадь всех торговых площадей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Чнас</w:t>
            </w:r>
            <w:proofErr w:type="spellEnd"/>
            <w:r>
              <w:t xml:space="preserve"> - численность населения городского округа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Дз</w:t>
            </w:r>
            <w:proofErr w:type="spellEnd"/>
            <w:r>
              <w:t xml:space="preserve"> = (</w:t>
            </w:r>
            <w:proofErr w:type="spellStart"/>
            <w:r>
              <w:t>Чмп</w:t>
            </w:r>
            <w:proofErr w:type="spellEnd"/>
            <w:r>
              <w:t xml:space="preserve"> + Чип + </w:t>
            </w:r>
            <w:proofErr w:type="spellStart"/>
            <w:r>
              <w:t>Чн</w:t>
            </w:r>
            <w:proofErr w:type="spellEnd"/>
            <w:r>
              <w:t>) / (</w:t>
            </w:r>
            <w:proofErr w:type="spellStart"/>
            <w:r>
              <w:t>Чмп</w:t>
            </w:r>
            <w:proofErr w:type="spellEnd"/>
            <w:r>
              <w:t xml:space="preserve"> + Чип + </w:t>
            </w:r>
            <w:proofErr w:type="spellStart"/>
            <w:r>
              <w:t>Чн</w:t>
            </w:r>
            <w:proofErr w:type="spellEnd"/>
            <w:r>
              <w:t xml:space="preserve"> + </w:t>
            </w:r>
            <w:proofErr w:type="spellStart"/>
            <w:r>
              <w:t>Чср</w:t>
            </w:r>
            <w:proofErr w:type="spellEnd"/>
            <w:r>
              <w:t xml:space="preserve"> + </w:t>
            </w:r>
            <w:proofErr w:type="spellStart"/>
            <w:r>
              <w:t>Чкр</w:t>
            </w:r>
            <w:proofErr w:type="spellEnd"/>
            <w:r>
              <w:t>) * 100, где: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Дз</w:t>
            </w:r>
            <w:proofErr w:type="spellEnd"/>
            <w:r>
              <w:t xml:space="preserve"> - доля занятых в малом и среднем бизнесе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Чмп</w:t>
            </w:r>
            <w:proofErr w:type="spellEnd"/>
            <w:r>
              <w:t xml:space="preserve"> - численность работающих в малых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Чип - численность работающих в ИП,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Чн</w:t>
            </w:r>
            <w:proofErr w:type="spellEnd"/>
            <w:r>
              <w:t xml:space="preserve"> - численность работающих у ИП по найму,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Чср</w:t>
            </w:r>
            <w:proofErr w:type="spellEnd"/>
            <w:r>
              <w:t xml:space="preserve"> - численность работающих в средних предприятиях,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Чкр</w:t>
            </w:r>
            <w:proofErr w:type="spellEnd"/>
            <w:r>
              <w:t xml:space="preserve"> - численность работающих на крупных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</w:tbl>
    <w:p w:rsidR="003A56E6" w:rsidRDefault="003A56E6">
      <w:pPr>
        <w:pStyle w:val="ConsPlusNormal"/>
        <w:jc w:val="center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1D25" w:rsidRDefault="00D81D25"/>
    <w:sectPr w:rsidR="00D81D2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11313F"/>
    <w:rsid w:val="003A56E6"/>
    <w:rsid w:val="006D6FB9"/>
    <w:rsid w:val="00D81D25"/>
    <w:rsid w:val="00DA08E7"/>
    <w:rsid w:val="00DA7B86"/>
    <w:rsid w:val="00ED4C3B"/>
    <w:rsid w:val="00EE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3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9" Type="http://schemas.openxmlformats.org/officeDocument/2006/relationships/hyperlink" Target="consultantplus://offline/ref=10691586363B407F60142AA8036C3FDD19AAF0D27C7BDD9CBE52A637C751FE54393F8EE42EC4AD8C041424E31877F9A88EBECEF70B31E31FWDk7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0691586363B407F60142AA8036C3FDD19AAF6D47E7DDD9CBE52A637C751FE542B3FD6E82EC2B4850F0172B25EW2k0N" TargetMode="External"/><Relationship Id="rId34" Type="http://schemas.openxmlformats.org/officeDocument/2006/relationships/hyperlink" Target="consultantplus://offline/ref=10691586363B407F601434A5150065D019A3AAD87C78D5CBE70DFD6A9058F4037E70D7B46A95A785040170BB4220F4AAW8kEN" TargetMode="External"/><Relationship Id="rId42" Type="http://schemas.openxmlformats.org/officeDocument/2006/relationships/hyperlink" Target="consultantplus://offline/ref=10691586363B407F60142AA8036C3FDD19AAF4D17779DD9CBE52A637C751FE54393F8EE42EC0AB80061424E31877F9A88EBECEF70B31E31FWDk7N" TargetMode="External"/><Relationship Id="rId7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2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3" Type="http://schemas.openxmlformats.org/officeDocument/2006/relationships/hyperlink" Target="consultantplus://offline/ref=10691586363B407F601434A5150065D019A3AAD87C78D5CBE70DFD6A9058F4037E70D7B46A95A785040170BB4220F4AAW8kEN" TargetMode="External"/><Relationship Id="rId38" Type="http://schemas.openxmlformats.org/officeDocument/2006/relationships/hyperlink" Target="consultantplus://offline/ref=10691586363B407F60142AA8036C3FDD19AAF0D27C7BDD9CBE52A637C751FE54393F8EE42EC4A985021424E31877F9A88EBECEF70B31E31FWDk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C7DD1CDE00DFD6A9058F4037E70D7B46A95A785040170BB4220F4AAW8kEN" TargetMode="External"/><Relationship Id="rId41" Type="http://schemas.openxmlformats.org/officeDocument/2006/relationships/hyperlink" Target="consultantplus://offline/ref=10691586363B407F60142AA8036C3FDD19AAF4D17779DD9CBE52A637C751FE542B3FD6E82EC2B4850F0172B25EW2k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1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6D0CEE00DFD6A9058F4037E70D7B46A95A785040170BB4220F4AAW8kEN" TargetMode="External"/><Relationship Id="rId32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37" Type="http://schemas.openxmlformats.org/officeDocument/2006/relationships/hyperlink" Target="consultantplus://offline/ref=10691586363B407F60142AA8036C3FDD19AAF0D27C7BDD9CBE52A637C751FE54393F8EE42EC6AA870E1424E31877F9A88EBECEF70B31E31FWDk7N" TargetMode="External"/><Relationship Id="rId40" Type="http://schemas.openxmlformats.org/officeDocument/2006/relationships/hyperlink" Target="consultantplus://offline/ref=10691586363B407F60142AA8036C3FDD19AAF0D27C7BDD9CBE52A637C751FE54393F8EE42EC5AF86041424E31877F9A88EBECEF70B31E31FWDk7N" TargetMode="External"/><Relationship Id="rId5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5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77DD3CBEB0DFD6A9058F4037E70D7B46A95A785040170BB4220F4AAW8kEN" TargetMode="External"/><Relationship Id="rId28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6" Type="http://schemas.openxmlformats.org/officeDocument/2006/relationships/hyperlink" Target="consultantplus://offline/ref=10691586363B407F60142AA8036C3FDD19AAF0D27C7BDD9CBE52A637C751FE54393F8EE42EC0AD84071424E31877F9A88EBECEF70B31E31FWDk7N" TargetMode="External"/><Relationship Id="rId10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2" Type="http://schemas.openxmlformats.org/officeDocument/2006/relationships/hyperlink" Target="consultantplus://offline/ref=10691586363B407F60142AA8036C3FDD19A8F1DD7C7DDD9CBE52A637C751FE542B3FD6E82EC2B4850F0172B25EW2k0N" TargetMode="External"/><Relationship Id="rId27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0" Type="http://schemas.openxmlformats.org/officeDocument/2006/relationships/hyperlink" Target="consultantplus://offline/ref=10691586363B407F601434A5150065D019A3AAD87C78D5CBE70DFD6A9058F4037E70D7B46A95A785040170BB4220F4AAW8kEN" TargetMode="External"/><Relationship Id="rId35" Type="http://schemas.openxmlformats.org/officeDocument/2006/relationships/hyperlink" Target="consultantplus://offline/ref=10691586363B407F60142AA8036C3FDD19AAF0D27C7BDD9CBE52A637C751FE54393F8EE42EC0AB86051424E31877F9A88EBECEF70B31E31FWDk7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76</Pages>
  <Words>24055</Words>
  <Characters>137120</Characters>
  <Application>Microsoft Office Word</Application>
  <DocSecurity>0</DocSecurity>
  <Lines>1142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8</cp:revision>
  <dcterms:created xsi:type="dcterms:W3CDTF">2022-09-02T13:36:00Z</dcterms:created>
  <dcterms:modified xsi:type="dcterms:W3CDTF">2023-09-11T13:50:00Z</dcterms:modified>
</cp:coreProperties>
</file>