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AFC67" w14:textId="77777777" w:rsidR="00382024" w:rsidRPr="009F6146" w:rsidRDefault="00382024" w:rsidP="009F61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F6146">
        <w:rPr>
          <w:rFonts w:ascii="Times New Roman" w:hAnsi="Times New Roman"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261"/>
      </w:tblGrid>
      <w:tr w:rsidR="00382024" w:rsidRPr="003B26B6" w14:paraId="7323D614" w14:textId="77777777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</w:tcPr>
          <w:p w14:paraId="1991AD3F" w14:textId="77777777" w:rsidR="00AC263C" w:rsidRDefault="0081033E" w:rsidP="00DA0B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МКУ «Дирекция жилищно-коммунального хозяйства и благоустройства Губкинского городского </w:t>
            </w:r>
            <w:r w:rsidR="00AC263C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округа»</w:t>
            </w:r>
            <w:r w:rsidR="00AC263C" w:rsidRPr="009F61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4B01BB6" w14:textId="71073A4B" w:rsidR="00382024" w:rsidRPr="003B26B6" w:rsidRDefault="00AC263C" w:rsidP="00320AC0">
            <w:pPr>
              <w:spacing w:line="280" w:lineRule="exact"/>
              <w:jc w:val="both"/>
              <w:rPr>
                <w:rFonts w:eastAsia="Batang"/>
                <w:b/>
                <w:sz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уведомляет</w:t>
            </w:r>
            <w:r w:rsidR="00382024" w:rsidRPr="009F6146">
              <w:rPr>
                <w:rFonts w:ascii="Times New Roman" w:hAnsi="Times New Roman"/>
                <w:sz w:val="28"/>
                <w:szCs w:val="28"/>
              </w:rPr>
              <w:t xml:space="preserve"> о проведении публичных консультаций посредством сбора замечаний</w:t>
            </w:r>
            <w:r w:rsidR="00382024" w:rsidRPr="009F6146">
              <w:rPr>
                <w:rFonts w:ascii="Times New Roman" w:hAnsi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>по </w:t>
            </w:r>
            <w:r w:rsidR="00382024" w:rsidRPr="009F6146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="00382024"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постановления </w:t>
            </w:r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 Губкинского городского </w:t>
            </w:r>
            <w:r w:rsidRPr="009F6146">
              <w:rPr>
                <w:rFonts w:ascii="Times New Roman" w:hAnsi="Times New Roman"/>
                <w:b/>
                <w:sz w:val="28"/>
                <w:szCs w:val="28"/>
              </w:rPr>
              <w:t>округа </w:t>
            </w:r>
            <w:r w:rsidR="00320AC0" w:rsidRPr="00320AC0">
              <w:rPr>
                <w:rFonts w:ascii="Times New Roman" w:hAnsi="Times New Roman"/>
                <w:b/>
                <w:sz w:val="28"/>
                <w:szCs w:val="28"/>
              </w:rPr>
              <w:t>«О внесении изменений в постановление администрации Губкинского городского округа от 25.11.2011 № 2197-па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 на территории Губкинского городского округа»</w:t>
            </w:r>
          </w:p>
        </w:tc>
      </w:tr>
      <w:tr w:rsidR="00382024" w:rsidRPr="003B26B6" w14:paraId="30C3915F" w14:textId="77777777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</w:tcPr>
          <w:p w14:paraId="40D8A99D" w14:textId="77777777" w:rsidR="00382024" w:rsidRPr="00320AC0" w:rsidRDefault="00382024" w:rsidP="003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14:paraId="52EFB8B0" w14:textId="77777777" w:rsidR="00320AC0" w:rsidRPr="00320AC0" w:rsidRDefault="00382024" w:rsidP="00320AC0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 xml:space="preserve">Замечания и предложения принимаются по адресу: 309181, Белгородская область, г. Губкин, ул. </w:t>
            </w:r>
            <w:r w:rsidR="0081033E" w:rsidRPr="00320AC0">
              <w:rPr>
                <w:rFonts w:ascii="Times New Roman" w:hAnsi="Times New Roman"/>
                <w:sz w:val="28"/>
                <w:szCs w:val="28"/>
              </w:rPr>
              <w:t>Мира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r w:rsidR="0081033E" w:rsidRPr="00320AC0">
              <w:rPr>
                <w:rFonts w:ascii="Times New Roman" w:hAnsi="Times New Roman"/>
                <w:sz w:val="28"/>
                <w:szCs w:val="28"/>
              </w:rPr>
              <w:t>3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 xml:space="preserve">, а также по адресу электронной почты: </w:t>
            </w:r>
            <w:hyperlink r:id="rId4" w:history="1">
              <w:r w:rsidR="00320AC0" w:rsidRPr="00320AC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orgf</w:t>
              </w:r>
              <w:r w:rsidR="00320AC0" w:rsidRPr="00320AC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_</w:t>
              </w:r>
              <w:r w:rsidR="00320AC0" w:rsidRPr="00320AC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ugkk</w:t>
              </w:r>
              <w:r w:rsidR="00320AC0" w:rsidRPr="00320AC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lang w:val="de-DE"/>
                </w:rPr>
                <w:t>@mail.ru</w:t>
              </w:r>
            </w:hyperlink>
            <w:r w:rsidR="00320AC0" w:rsidRPr="00320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18D0ACF" w14:textId="77777777" w:rsidR="00382024" w:rsidRPr="00320AC0" w:rsidRDefault="00382024" w:rsidP="00320AC0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 xml:space="preserve">Сроки приема предложений и замечаний: </w:t>
            </w:r>
            <w:r w:rsidR="00320AC0" w:rsidRPr="00320AC0">
              <w:rPr>
                <w:rFonts w:ascii="Times New Roman" w:hAnsi="Times New Roman"/>
                <w:sz w:val="28"/>
                <w:szCs w:val="28"/>
              </w:rPr>
              <w:t>с 1</w:t>
            </w:r>
            <w:r w:rsidR="003651C7">
              <w:rPr>
                <w:rFonts w:ascii="Times New Roman" w:hAnsi="Times New Roman"/>
                <w:sz w:val="28"/>
                <w:szCs w:val="28"/>
              </w:rPr>
              <w:t>2</w:t>
            </w:r>
            <w:r w:rsidR="00320AC0" w:rsidRPr="00320AC0">
              <w:rPr>
                <w:rFonts w:ascii="Times New Roman" w:hAnsi="Times New Roman"/>
                <w:sz w:val="28"/>
                <w:szCs w:val="28"/>
              </w:rPr>
              <w:t>.07.2025 года по 2</w:t>
            </w:r>
            <w:r w:rsidR="003651C7">
              <w:rPr>
                <w:rFonts w:ascii="Times New Roman" w:hAnsi="Times New Roman"/>
                <w:sz w:val="28"/>
                <w:szCs w:val="28"/>
              </w:rPr>
              <w:t>6</w:t>
            </w:r>
            <w:r w:rsidR="00320AC0" w:rsidRPr="00320AC0">
              <w:rPr>
                <w:rFonts w:ascii="Times New Roman" w:hAnsi="Times New Roman"/>
                <w:sz w:val="28"/>
                <w:szCs w:val="28"/>
              </w:rPr>
              <w:t>.07.2025 года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AE47CFE" w14:textId="77777777" w:rsidR="00382024" w:rsidRPr="00320AC0" w:rsidRDefault="00382024" w:rsidP="003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</w:t>
            </w:r>
            <w:r w:rsidR="00D04E55" w:rsidRPr="00320AC0">
              <w:rPr>
                <w:rFonts w:ascii="Times New Roman" w:hAnsi="Times New Roman"/>
                <w:sz w:val="28"/>
                <w:szCs w:val="28"/>
              </w:rPr>
              <w:t>2</w:t>
            </w:r>
            <w:r w:rsidR="00320AC0" w:rsidRPr="00320AC0">
              <w:rPr>
                <w:rFonts w:ascii="Times New Roman" w:hAnsi="Times New Roman"/>
                <w:sz w:val="28"/>
                <w:szCs w:val="28"/>
              </w:rPr>
              <w:t>5</w:t>
            </w:r>
            <w:r w:rsidR="00D04E55" w:rsidRPr="00320AC0">
              <w:rPr>
                <w:rFonts w:ascii="Times New Roman" w:hAnsi="Times New Roman"/>
                <w:sz w:val="28"/>
                <w:szCs w:val="28"/>
              </w:rPr>
              <w:t xml:space="preserve"> год, который до 12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>.0</w:t>
            </w:r>
            <w:r w:rsidR="00D04E55" w:rsidRPr="00320AC0">
              <w:rPr>
                <w:rFonts w:ascii="Times New Roman" w:hAnsi="Times New Roman"/>
                <w:sz w:val="28"/>
                <w:szCs w:val="28"/>
              </w:rPr>
              <w:t>3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>.202</w:t>
            </w:r>
            <w:r w:rsidR="00320AC0" w:rsidRPr="00320AC0">
              <w:rPr>
                <w:rFonts w:ascii="Times New Roman" w:hAnsi="Times New Roman"/>
                <w:sz w:val="28"/>
                <w:szCs w:val="28"/>
              </w:rPr>
              <w:t>6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 xml:space="preserve"> года 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</w:t>
            </w:r>
            <w:hyperlink r:id="rId5" w:history="1">
              <w:r w:rsidRPr="00320AC0">
                <w:rPr>
                  <w:rFonts w:ascii="Times New Roman" w:hAnsi="Times New Roman"/>
                  <w:sz w:val="28"/>
                  <w:szCs w:val="28"/>
                  <w:u w:val="single"/>
                </w:rPr>
                <w:t>Антимонопольный комплаенс</w:t>
              </w:r>
            </w:hyperlink>
            <w:r w:rsidRPr="00320AC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14:paraId="1A9BF54A" w14:textId="77777777" w:rsidR="00382024" w:rsidRPr="00320AC0" w:rsidRDefault="00382024" w:rsidP="003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> </w:t>
            </w:r>
            <w:r w:rsidRPr="00320AC0">
              <w:rPr>
                <w:rFonts w:ascii="Times New Roman" w:hAnsi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14:paraId="6C1DE9A1" w14:textId="77777777" w:rsidR="00382024" w:rsidRPr="00320AC0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>1. Анкета участника публичных консультаций в формате Word. (</w:t>
            </w:r>
            <w:hyperlink r:id="rId6" w:history="1">
              <w:r w:rsidRPr="00320AC0">
                <w:rPr>
                  <w:rFonts w:ascii="Times New Roman" w:hAnsi="Times New Roman"/>
                  <w:sz w:val="28"/>
                  <w:szCs w:val="28"/>
                  <w:u w:val="single"/>
                </w:rPr>
                <w:t>Скачать</w:t>
              </w:r>
            </w:hyperlink>
            <w:r w:rsidRPr="00320AC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5298A5D8" w14:textId="77777777" w:rsidR="00382024" w:rsidRPr="00320AC0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>2. Текст проекта муниципального нормативного правового акта в формате Word. (</w:t>
            </w:r>
            <w:hyperlink r:id="rId7" w:history="1">
              <w:r w:rsidRPr="00320AC0">
                <w:rPr>
                  <w:rFonts w:ascii="Times New Roman" w:hAnsi="Times New Roman"/>
                  <w:sz w:val="28"/>
                  <w:szCs w:val="28"/>
                  <w:u w:val="single"/>
                </w:rPr>
                <w:t>Скачать</w:t>
              </w:r>
            </w:hyperlink>
            <w:r w:rsidRPr="00320AC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51F4016" w14:textId="77777777" w:rsidR="00382024" w:rsidRPr="00320AC0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>3. Текст действующего муниципального нормативного правового акта в формате Word. (</w:t>
            </w:r>
            <w:hyperlink r:id="rId8" w:history="1">
              <w:r w:rsidRPr="00320AC0">
                <w:rPr>
                  <w:rFonts w:ascii="Times New Roman" w:hAnsi="Times New Roman"/>
                  <w:sz w:val="28"/>
                  <w:szCs w:val="28"/>
                  <w:u w:val="single"/>
                </w:rPr>
                <w:t>Скачать</w:t>
              </w:r>
            </w:hyperlink>
            <w:r w:rsidRPr="00320AC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5AEA660E" w14:textId="77777777" w:rsidR="00382024" w:rsidRPr="00320AC0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 (</w:t>
            </w:r>
            <w:hyperlink r:id="rId9" w:history="1">
              <w:r w:rsidRPr="00320AC0">
                <w:rPr>
                  <w:rFonts w:ascii="Times New Roman" w:hAnsi="Times New Roman"/>
                  <w:sz w:val="28"/>
                  <w:szCs w:val="28"/>
                  <w:u w:val="single"/>
                </w:rPr>
                <w:t>Скачать</w:t>
              </w:r>
            </w:hyperlink>
            <w:r w:rsidRPr="00320AC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6D5A0DA9" w14:textId="77777777" w:rsidR="00382024" w:rsidRPr="00320AC0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14:paraId="32CAFFC9" w14:textId="77777777" w:rsidR="00382024" w:rsidRPr="00320AC0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 xml:space="preserve">официальный сайт органов местного самоуправления Губкинского городского </w:t>
            </w:r>
            <w:r w:rsidRPr="00320AC0">
              <w:rPr>
                <w:rFonts w:ascii="Times New Roman" w:hAnsi="Times New Roman"/>
                <w:sz w:val="28"/>
                <w:szCs w:val="28"/>
              </w:rPr>
              <w:lastRenderedPageBreak/>
              <w:t>округа, раздел «</w:t>
            </w:r>
            <w:hyperlink r:id="rId10" w:history="1">
              <w:r w:rsidRPr="00320AC0">
                <w:rPr>
                  <w:rFonts w:ascii="Times New Roman" w:hAnsi="Times New Roman"/>
                  <w:sz w:val="28"/>
                  <w:szCs w:val="28"/>
                  <w:u w:val="single"/>
                </w:rPr>
                <w:t>Антимонопольный комплаенс</w:t>
              </w:r>
            </w:hyperlink>
            <w:r w:rsidRPr="00320AC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82024" w:rsidRPr="003B26B6" w14:paraId="5C8438C6" w14:textId="77777777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</w:tcPr>
          <w:p w14:paraId="59ACAAB3" w14:textId="77777777" w:rsidR="00382024" w:rsidRPr="00320AC0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lastRenderedPageBreak/>
              <w:t>Контактное лицо:</w:t>
            </w:r>
          </w:p>
          <w:p w14:paraId="501D6FEA" w14:textId="77777777" w:rsidR="00382024" w:rsidRPr="00320AC0" w:rsidRDefault="00320AC0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 xml:space="preserve">Бакшаева Евгения Евгеньевна, </w:t>
            </w:r>
            <w:r w:rsidR="00382024" w:rsidRPr="00320AC0">
              <w:rPr>
                <w:rFonts w:ascii="Times New Roman" w:hAnsi="Times New Roman"/>
                <w:sz w:val="28"/>
                <w:szCs w:val="28"/>
              </w:rPr>
              <w:t>телефон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 xml:space="preserve"> (47</w:t>
            </w:r>
            <w:r w:rsidR="00382024" w:rsidRPr="00320AC0">
              <w:rPr>
                <w:rFonts w:ascii="Times New Roman" w:hAnsi="Times New Roman"/>
                <w:sz w:val="28"/>
                <w:szCs w:val="28"/>
              </w:rPr>
              <w:t xml:space="preserve">241) 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>2-52-72</w:t>
            </w:r>
          </w:p>
          <w:p w14:paraId="145B4A83" w14:textId="77777777" w:rsidR="00382024" w:rsidRPr="00320AC0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>Режим работы:</w:t>
            </w:r>
          </w:p>
          <w:p w14:paraId="0D4649A7" w14:textId="77777777" w:rsidR="00382024" w:rsidRPr="00320AC0" w:rsidRDefault="00382024" w:rsidP="008103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0AC0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81033E" w:rsidRPr="00320AC0">
              <w:rPr>
                <w:rFonts w:ascii="Times New Roman" w:hAnsi="Times New Roman"/>
                <w:sz w:val="28"/>
                <w:szCs w:val="28"/>
              </w:rPr>
              <w:t>9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>-00 до 1</w:t>
            </w:r>
            <w:r w:rsidR="0081033E" w:rsidRPr="00320AC0">
              <w:rPr>
                <w:rFonts w:ascii="Times New Roman" w:hAnsi="Times New Roman"/>
                <w:sz w:val="28"/>
                <w:szCs w:val="28"/>
              </w:rPr>
              <w:t>8</w:t>
            </w:r>
            <w:r w:rsidRPr="00320AC0">
              <w:rPr>
                <w:rFonts w:ascii="Times New Roman" w:hAnsi="Times New Roman"/>
                <w:sz w:val="28"/>
                <w:szCs w:val="28"/>
              </w:rPr>
              <w:t>-00, перерыв с 13-00 до 14-00</w:t>
            </w:r>
          </w:p>
        </w:tc>
      </w:tr>
    </w:tbl>
    <w:p w14:paraId="5782EB1B" w14:textId="77777777" w:rsidR="00382024" w:rsidRDefault="00382024" w:rsidP="009F6146">
      <w:pPr>
        <w:spacing w:line="240" w:lineRule="auto"/>
      </w:pPr>
    </w:p>
    <w:sectPr w:rsidR="00382024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3A4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DE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28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812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D4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0FD8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AC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6E69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1C7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4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6B6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EFD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25F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EFC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1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78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9E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2FDD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367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6E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204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0E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9FF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0B1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2F9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3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5C1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82B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44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581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3C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B4A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E55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56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3F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BF9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5EE9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4D7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C2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B5F35"/>
  <w15:docId w15:val="{258C9B0B-0484-4430-BE78-92DA5898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8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61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9F6146"/>
    <w:rPr>
      <w:rFonts w:cs="Times New Roman"/>
    </w:rPr>
  </w:style>
  <w:style w:type="character" w:styleId="a4">
    <w:name w:val="Hyperlink"/>
    <w:uiPriority w:val="99"/>
    <w:semiHidden/>
    <w:rsid w:val="009F6146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9F614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56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post_2471-pa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roekt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hyperlink" Target="mailto:orgf_ugkk@mail.ru" TargetMode="External"/><Relationship Id="rId9" Type="http://schemas.openxmlformats.org/officeDocument/2006/relationships/hyperlink" Target="http://gubkinadm.ru/gubkindocs/documents/antimon_komplaens/izm_2471-pa/obosnovanie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482</Words>
  <Characters>2749</Characters>
  <Application>Microsoft Office Word</Application>
  <DocSecurity>0</DocSecurity>
  <Lines>22</Lines>
  <Paragraphs>6</Paragraphs>
  <ScaleCrop>false</ScaleCrop>
  <Company>Microsoft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Максим Площук</cp:lastModifiedBy>
  <cp:revision>29</cp:revision>
  <dcterms:created xsi:type="dcterms:W3CDTF">2019-12-05T14:10:00Z</dcterms:created>
  <dcterms:modified xsi:type="dcterms:W3CDTF">2025-07-11T08:01:00Z</dcterms:modified>
</cp:coreProperties>
</file>