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8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9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10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11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12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13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4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5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6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7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8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9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20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1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22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 w:rsidP="003326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23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4">
              <w:r>
                <w:rPr>
                  <w:color w:val="0000FF"/>
                </w:rPr>
                <w:t>N 2223-па</w:t>
              </w:r>
            </w:hyperlink>
            <w:r w:rsidR="0011313F">
              <w:rPr>
                <w:color w:val="0000FF"/>
              </w:rPr>
              <w:t xml:space="preserve">, </w:t>
            </w:r>
            <w:r w:rsidR="0011313F" w:rsidRPr="0011313F">
              <w:rPr>
                <w:color w:val="0000FF"/>
              </w:rPr>
              <w:t>от 2</w:t>
            </w:r>
            <w:r w:rsidR="0011313F">
              <w:rPr>
                <w:color w:val="0000FF"/>
              </w:rPr>
              <w:t>1</w:t>
            </w:r>
            <w:r w:rsidR="0011313F" w:rsidRPr="0011313F">
              <w:rPr>
                <w:color w:val="0000FF"/>
              </w:rPr>
              <w:t>.12.202</w:t>
            </w:r>
            <w:r w:rsidR="0011313F">
              <w:rPr>
                <w:color w:val="0000FF"/>
              </w:rPr>
              <w:t>2</w:t>
            </w:r>
            <w:r w:rsidR="0011313F" w:rsidRPr="0011313F">
              <w:rPr>
                <w:color w:val="0000FF"/>
              </w:rPr>
              <w:t xml:space="preserve"> N </w:t>
            </w:r>
            <w:r w:rsidR="0011313F">
              <w:rPr>
                <w:color w:val="0000FF"/>
              </w:rPr>
              <w:t>2571</w:t>
            </w:r>
            <w:r w:rsidR="0011313F" w:rsidRPr="0011313F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>,</w:t>
            </w:r>
            <w:r w:rsidR="00DA08E7">
              <w:t xml:space="preserve">                                                </w:t>
            </w:r>
            <w:r w:rsidR="00DA08E7" w:rsidRPr="00DA08E7">
              <w:rPr>
                <w:color w:val="323E4F" w:themeColor="text2" w:themeShade="BF"/>
              </w:rPr>
              <w:t xml:space="preserve">от 24.03.2023 </w:t>
            </w:r>
            <w:r w:rsidR="00DA08E7" w:rsidRPr="00DA08E7">
              <w:rPr>
                <w:color w:val="0000FF"/>
              </w:rPr>
              <w:t xml:space="preserve">N </w:t>
            </w:r>
            <w:r w:rsidR="00DA08E7">
              <w:rPr>
                <w:color w:val="0000FF"/>
              </w:rPr>
              <w:t>429</w:t>
            </w:r>
            <w:r w:rsidR="00DA08E7" w:rsidRPr="00DA08E7">
              <w:rPr>
                <w:color w:val="0000FF"/>
              </w:rPr>
              <w:t>-па</w:t>
            </w:r>
            <w:r w:rsidR="00471D4B">
              <w:rPr>
                <w:color w:val="0000FF"/>
              </w:rPr>
              <w:t xml:space="preserve">, </w:t>
            </w:r>
            <w:r w:rsidR="00471D4B" w:rsidRPr="00471D4B">
              <w:rPr>
                <w:color w:val="808080" w:themeColor="background1" w:themeShade="80"/>
              </w:rPr>
              <w:t xml:space="preserve">от </w:t>
            </w:r>
            <w:r w:rsidR="00ED4A87">
              <w:rPr>
                <w:color w:val="808080" w:themeColor="background1" w:themeShade="80"/>
              </w:rPr>
              <w:t>16</w:t>
            </w:r>
            <w:r w:rsidR="00471D4B" w:rsidRPr="00471D4B">
              <w:rPr>
                <w:color w:val="808080" w:themeColor="background1" w:themeShade="80"/>
              </w:rPr>
              <w:t>.</w:t>
            </w:r>
            <w:r w:rsidR="00ED4A87">
              <w:rPr>
                <w:color w:val="808080" w:themeColor="background1" w:themeShade="80"/>
              </w:rPr>
              <w:t>10</w:t>
            </w:r>
            <w:r w:rsidR="00471D4B" w:rsidRPr="00471D4B">
              <w:rPr>
                <w:color w:val="808080" w:themeColor="background1" w:themeShade="80"/>
              </w:rPr>
              <w:t xml:space="preserve">.2023 </w:t>
            </w:r>
            <w:r w:rsidR="00471D4B" w:rsidRPr="00471D4B">
              <w:rPr>
                <w:color w:val="0000FF"/>
              </w:rPr>
              <w:t xml:space="preserve">N </w:t>
            </w:r>
            <w:r w:rsidR="00ED4A87">
              <w:rPr>
                <w:color w:val="0000FF"/>
              </w:rPr>
              <w:t>1432</w:t>
            </w:r>
            <w:r w:rsidR="00471D4B" w:rsidRPr="00471D4B">
              <w:rPr>
                <w:color w:val="0000FF"/>
              </w:rPr>
              <w:t>-па</w:t>
            </w:r>
            <w:r w:rsidR="008F2367">
              <w:rPr>
                <w:color w:val="0000FF"/>
              </w:rPr>
              <w:t xml:space="preserve">, </w:t>
            </w:r>
            <w:r w:rsidR="008F2367">
              <w:t xml:space="preserve"> </w:t>
            </w:r>
            <w:r w:rsidR="008F2367" w:rsidRPr="008F2367">
              <w:rPr>
                <w:color w:val="808080" w:themeColor="background1" w:themeShade="80"/>
              </w:rPr>
              <w:t xml:space="preserve">от </w:t>
            </w:r>
            <w:r w:rsidR="003326B9">
              <w:rPr>
                <w:color w:val="808080" w:themeColor="background1" w:themeShade="80"/>
              </w:rPr>
              <w:t>21</w:t>
            </w:r>
            <w:r w:rsidR="008F2367" w:rsidRPr="008F2367">
              <w:rPr>
                <w:color w:val="808080" w:themeColor="background1" w:themeShade="80"/>
              </w:rPr>
              <w:t>.</w:t>
            </w:r>
            <w:r w:rsidR="003326B9">
              <w:rPr>
                <w:color w:val="808080" w:themeColor="background1" w:themeShade="80"/>
              </w:rPr>
              <w:t>03</w:t>
            </w:r>
            <w:r w:rsidR="008F2367" w:rsidRPr="008F2367">
              <w:rPr>
                <w:color w:val="808080" w:themeColor="background1" w:themeShade="80"/>
              </w:rPr>
              <w:t>.202</w:t>
            </w:r>
            <w:r w:rsidR="003326B9">
              <w:rPr>
                <w:color w:val="808080" w:themeColor="background1" w:themeShade="80"/>
              </w:rPr>
              <w:t>4</w:t>
            </w:r>
            <w:r w:rsidR="008F2367" w:rsidRPr="008F2367">
              <w:rPr>
                <w:color w:val="0000FF"/>
              </w:rPr>
              <w:t xml:space="preserve"> N </w:t>
            </w:r>
            <w:r w:rsidR="003326B9">
              <w:rPr>
                <w:color w:val="0000FF"/>
              </w:rPr>
              <w:t>3</w:t>
            </w:r>
            <w:r w:rsidR="008F2367" w:rsidRPr="008F2367">
              <w:rPr>
                <w:color w:val="0000FF"/>
              </w:rPr>
              <w:t>32-па</w:t>
            </w:r>
            <w:r w:rsidR="00DA08E7">
              <w:rPr>
                <w:color w:val="0000FF"/>
              </w:rPr>
              <w:t xml:space="preserve"> 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7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8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30">
        <w:r>
          <w:rPr>
            <w:color w:val="0000FF"/>
          </w:rPr>
          <w:t>N 2175-па</w:t>
        </w:r>
      </w:hyperlink>
      <w:r>
        <w:t xml:space="preserve">, от 26.12.2020 </w:t>
      </w:r>
      <w:hyperlink r:id="rId31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r w:rsidR="003749E6">
        <w:t>Горбач И.И.</w:t>
      </w:r>
      <w:bookmarkStart w:id="0" w:name="_GoBack"/>
      <w:bookmarkEnd w:id="0"/>
      <w:r>
        <w:t>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33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4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" w:name="P51"/>
      <w:bookmarkEnd w:id="1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Паспорт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муниципальной программы «</w:t>
      </w: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Развитие экономического потенциала и формирование благоприятного предпринимательского климата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670"/>
      </w:tblGrid>
      <w:tr w:rsidR="00954C0C" w:rsidRPr="00954C0C" w:rsidTr="00CA7706">
        <w:trPr>
          <w:trHeight w:val="1214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предпринима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тельского климата в Губкинском городском округе Белгородской области (далее – Программа)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исполнитель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Соисполнители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), администрация Губкинского городского округа (в лице отдела по труду)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управления сельского хозяйства)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Подпрограмма «Развитие общественного питания на территории Губкинского городского округа Белгородской области».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Подпрограмма «Развитие торговли на территории Губкинского городского округа Белгородской области».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 Подпрограмма «Развитие и поддержка малого и среднего предпринимательства в Губкинском городском округе Белгородской области»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4. Подпрограмма «Улучшение условий и охраны труда в Губкинском городском округе Белгородской области»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Создание условий для увеличения экономического потенциала Губкинского городского округа Белгородской области, формирование благопри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ятного предпринимательского климата и повышение активности бизнеса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Задачи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Задача 1. Максимально полное удовле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творение потребностей населения городского округа в услугах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общественного питания за счет обеспечения эффективного развития инфраструктуры отрасли.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реализации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Общий объем ресурсного обеспечения Программы на 2014-2026 годы –                     86615,112 тыс. рублей, в том числе за счет средств федерального бюджета***–         60222,85 тыс. рублей, средств областного бюджета Белгородской области*** –       7518,85 тыс. рублей, средств бюджета Губкинского городского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 Белгородской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области – 4429,812 тыс. руб., средств иных источников – 14443,6 тыс. руб., из них: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планируемое финансирование за счет средств федерального бюджета,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2750,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4050,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  860,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  6870,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6453,65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27569,0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11670,2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2022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2023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2024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2025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2026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планируемое финансирование за счет средств областного бюджета Белгородской области,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324,0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244,0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133,0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3412,0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1746,35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1169,5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  490,0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2022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2023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2024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2025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2026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бюджет Губкинского городского округа Белгородской области,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  69,512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161,5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248,0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2017 год –   151,0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522,2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1699,9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  745,0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 –   116,0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 –   143,7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 –   140,0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 –   144,2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 –   144,3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 –   144,5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иные источники,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7000,0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662,4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2019 год – 4523,0 тыс. рублей; 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-   2258,2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реализацию мероприятий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мы, кроме того, предусмотрено                                       в 2014-2021 годах предоставление муниципальной гарантии Губкинского городского округа Белгородской области в объеме 3 млн.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рублей.*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348"/>
                <w:tab w:val="left" w:pos="528"/>
                <w:tab w:val="left" w:pos="708"/>
                <w:tab w:val="left" w:pos="1398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Количество посадочных мест в       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ятиях общественного питания.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348"/>
                <w:tab w:val="left" w:pos="528"/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Обеспеченность торговыми площадями на 1 тысячу жителей.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3. Доля занятых в малом и среднем бизнесе, включая ИП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4.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Программы**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2026 году планируется достижение          следующих целевых показателей: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увеличение количества посадочных мест в предприятиях общественного питания                  до 9200 ед.;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рост обеспеченности торговыми площадями на 1 тысячу жителей                       до 805,8 кв. м;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увеличение доли занятых в малом и среднем бизнесе, включая ИП, в общей                   численности до 29,1%;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до 1,059 единиц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Примечания: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 решением Совета депутатов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о бюджете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*** планируемый объем финансирования.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Общая характеристика сферы реализации Программы,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 том числе формулировки основных проблем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 данным департамента экономического развития Белгородской области, объем валового муниципального продукта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 (далее – ВМП городского округа)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2013 году в основных текущих ценах составил 73020,12 млн. рублей, удельный вес в валовом региональном продукте Белгородской области (далее – ВРП Белгородской области) – 12,74 %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89,72 %.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Оборот розничной торговли в городском округе по данным за 2013 год составил 14,5 млрд. рублей, что в сопоставимых ценах на 3,9 % выше показателей прошлого года. В физическом объёме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2012 году оборот общественного питания составил 346,1 млн. рублей, в 2011 году – 280,6 млн. рублей, в 2010 году 262,5 млн. рублей.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123,4 %.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магазинов,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42 павильона, 111 киосков. Обеспеченность торговыми площадями в расчете          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     447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кв.м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>. Таким образом, к 2014 году достигнуто не только значение минимального нормативного показателя, но и его превышение на 34,9%.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</w:p>
    <w:p w:rsidR="00954C0C" w:rsidRPr="00954C0C" w:rsidRDefault="00954C0C" w:rsidP="00954C0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                        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- 8077 человек.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 на 2013-2016 годы».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Сохраняя устойчивые темпы роста экономики на протяжении последних           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34,6 %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а) рост инфраструктурных ограничений.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б) интенсификация конкуренции за рынки сбыта продукции и за ресурсы развития.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в) ухудшение конъюнктуры на мировых рынках специализации.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Конституцией Российской Федерации каждый гражданин России имеет право на труд в условиях, отвечающих требованиям безопасности и гигиены.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Улучшению условий и охраны труда, сохранению здоровья работающего населения на территории Губкинского городского округа уделяется большое внимание.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Содержание и мероприятия Программы соответствуют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второму                стратеги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 xml:space="preserve">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округа  до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2025 года.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Arial" w:eastAsia="DFKai-SB" w:hAnsi="Arial" w:cs="Arial"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sz w:val="20"/>
          <w:szCs w:val="20"/>
          <w:lang w:eastAsia="ru-RU"/>
        </w:rPr>
        <w:t xml:space="preserve">Цели, задачи, мероприятия и показатели реализации Программы соответствуют второму стратегическому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Стратегии социально-экономического развития Губкинского городского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округа до 2025 года. </w:t>
      </w:r>
    </w:p>
    <w:p w:rsidR="00954C0C" w:rsidRPr="00954C0C" w:rsidRDefault="00954C0C" w:rsidP="00954C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позволит обеспечить достижение цели и решение поставленных задач за счет концентрации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и координации финансовых, имущественных и организаци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онных ресурсов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, увязки сроков реализации мероприятий и объемов их финан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сиро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ва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 xml:space="preserve">ния с ожидаемыми результатами, а также будет являться важным инструментом увеличения экономического потенциала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Губкинского городского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2. Приоритеты муниципальной политики в сфере реализации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Программы, цели, задачи и показатели достижения целей 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решения задач, описание основных конечных результатов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Программы, сроков и этапов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Приоритеты социально-экономического развития Губкинского городского округа Белгородской области отражены во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втором стратегическом направлении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округа  до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2025 года.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развитие институциональной среды инновационного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создание благоприятного инвестиционного климата для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развитие сельского хозяйства и промышленности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информационное обеспечение инновационного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Исходя из обозначенных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стратегических задач и приоритетов целью Программы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является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создание условий для увеличения экономического потенциала Губкинского город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кого округа Белгородской области, формирование благопри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ятного предпринимательского климата и повыше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ние активности бизнеса.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Для достижения поставленной цели потребуется решение следующих задач: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1. Максимально полное удовле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творение потребностей населения городского округа в услу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гах общественного питания за счет обес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пе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чения эффективного развития инфраст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руктуры отрасли.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2. Максимально полное удовле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творение потребностей населения городского округа в товарах за счет обеспечения эффек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тивного развития инфраструктуры отрасли.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3.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вклада  в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социально-экономическое  развитие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4. Осуществление органами местного самоуправления полномочий в области охраны труда согласно действующему законодательству.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2026 году планируется достижение следующих конечных результатов** (приложение № 1 к Программе):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  <w:tab w:val="left" w:pos="13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количество посадочных мест в предприятиях общественного питания, в том числе по годам: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9521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2015 год – 9700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9850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9900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9950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9360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9450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9470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9160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9165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9175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9185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9200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обеспеченность торговыми площадями на 1 тысячу жителей,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602,0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2015 год – 625,0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630,0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641,7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658,3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680,0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691,6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747,9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758,4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2023 год – 784,8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791,9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800,2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805,8 кв. м;</w:t>
      </w:r>
    </w:p>
    <w:p w:rsidR="00954C0C" w:rsidRPr="00954C0C" w:rsidRDefault="00954C0C" w:rsidP="00954C0C">
      <w:pPr>
        <w:widowControl w:val="0"/>
        <w:tabs>
          <w:tab w:val="left" w:pos="-1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доля занятых в малом и среднем бизнесе, включая ИП,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23,9%;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2015 год –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22,0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29,5%;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27,9%;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28,2%;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28,6%;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28,8%;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29,1%;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1,107;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1,083;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1,059.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Программой, будет способствовать увеличению экономического потенциала Губкинского город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кого округа Белгородской области, формированию благопри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ятного предпринимательского климата и повыше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нию активности бизнеса.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реализуется в 2014-2026 годах,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2021-2026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приложении № 1 к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достигнутых результатов в предшествующий период реализации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Перечень муниципальных правовых актов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органов местного самоуправления Губкинского городского округа Белгородской области, принятие или изменение которых необходимо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для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приложении № 2 к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Обоснование выделения подпрограмм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Система подпрограмм Программы сформирована таким образом, чтобы достигнуть цель и обеспечить решение задач Программы, и состоит                          из 4 подпрограмм: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1. Подпрограмма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«Развитие общественного питания на территории Губкинского городского округа Белгородской области».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Подпрограмма направлена на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4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обслуживания населения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 для развития общедоступной сети и предприятий общественного питания на туристических маршрутах;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информационно-аналитическое обеспечение в области предоставления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услуг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обеспечит </w:t>
      </w:r>
      <w:proofErr w:type="spellStart"/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интен-сивное</w:t>
      </w:r>
      <w:proofErr w:type="spellEnd"/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развитие сферы общественного питания, повышение качества и безопасности услуг, увеличение оборота общественного питания до                   990,5 млн. рублей к 2026 году; увеличение оборота общественного питания на душу населения до 8800 рублей к 2026 году; увеличение показателя обеспеченности населения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посадочными местами в предприятиях общественного питания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 82,0 единиц на 1 тысячу жителей к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2026 году.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Подпрограмма «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Развитие торговли на территории Губкинского городского округа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54C0C" w:rsidRPr="00954C0C" w:rsidRDefault="00954C0C" w:rsidP="0095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 </w:t>
      </w:r>
    </w:p>
    <w:p w:rsidR="00954C0C" w:rsidRPr="00954C0C" w:rsidRDefault="00954C0C" w:rsidP="0095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обеспечение сбалансированного развития и размещения инфраструктуры оптовой и розничной торговли;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72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торговли в сельской местности, в том числе в отдаленных или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2"/>
        </w:numPr>
        <w:tabs>
          <w:tab w:val="left" w:pos="0"/>
          <w:tab w:val="left" w:pos="72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торгового сервиса для населения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3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информационно-аналитическое обеспечение в области торговой деятельности.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позволит обеспечить увеличение розничного товарооборота до 38,5 млрд. рублей к 2026 году, увеличение розничного товарооборота на душу населения до 343,6 тыс.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рублей  к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2026 году, увеличение показателя обеспеченности населения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торговыми площадями в предприятиях торговли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 805,8 кв. м на 1 тысячу жителей к                    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2026 году.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3. Подпрограмма «Развитие и поддержка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направлена на обеспечение благоприятных условий для развития и комплексной поддержки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нимательства в целях повышения его вклада в социально-экономическое развитие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39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содействие участию в ремесленной и выставочно-ярмарочной                   дея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тельности субъектов малого и среднего предпринимательства;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оказание финансовой, имущественной поддержки </w:t>
      </w: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приоритетных направлений деятельности субъектов малого и среднего предпринимательства</w:t>
      </w:r>
      <w:r w:rsidRPr="00954C0C">
        <w:rPr>
          <w:rFonts w:ascii="Arial" w:eastAsia="Times New Roman" w:hAnsi="Arial" w:cs="Arial"/>
          <w:sz w:val="20"/>
          <w:szCs w:val="20"/>
        </w:rPr>
        <w:t>, в том числе с использованием инфраструктуры поддержки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оказание содействия субъектам малого и среднего предпринимательства в участии в областном мероприятии «Программа «500/10000».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обеспечит: уровень годового оборота малых и средних предприятий в действующих ценах            27,3 млрд. рублей в 2026 году; достижение уровня доли занятых в малом и среднем бизнесе, включая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ИП,  в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общей численности занятых к 2026 году -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29,1%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4. Подпрограмма «Улучшение условий и охраны труда в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Губкинском  городском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округе Белгородской области».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Подпрограмма направлена на снижения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округа. 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решается следующая задача: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осуществление органами местного самоуправления полномочий в области охраны труда согласно действующему законодательству.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 подпрограммы обеспечит: снижение общей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                          к 2026 году; сокращение численности пострадавших в результате несчастных случаев на производстве со смертельным исходом в расчете на 1 тысячу работающих до 0,118 единиц к 2026 году.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Система основных мероприятий и показателей подпрограмм представлена в приложении № 1 к Программе. Сроки реализации подпрограмм совпадают со сроками реализации Программы в целом: 2014-2026 годы, I </w:t>
      </w:r>
      <w:proofErr w:type="gram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этап:   </w:t>
      </w:r>
      <w:proofErr w:type="gramEnd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   2014-2020 годы, II этап: 2021-2026 годы.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Предполагаемые объемы финансирования Программы на 2014-2026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2021-2026 годы представлены в таблицах 1 и 2.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Объемы финансирования Программы по годам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54C0C">
        <w:rPr>
          <w:rFonts w:ascii="Arial" w:eastAsia="Times New Roman" w:hAnsi="Arial" w:cs="Arial"/>
          <w:sz w:val="20"/>
          <w:szCs w:val="20"/>
        </w:rPr>
        <w:t xml:space="preserve">этап реализации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Программы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тыс. рублей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084"/>
        <w:gridCol w:w="1042"/>
        <w:gridCol w:w="851"/>
        <w:gridCol w:w="850"/>
        <w:gridCol w:w="851"/>
        <w:gridCol w:w="992"/>
        <w:gridCol w:w="992"/>
        <w:gridCol w:w="992"/>
      </w:tblGrid>
      <w:tr w:rsidR="00954C0C" w:rsidRPr="00954C0C" w:rsidTr="00CA7706">
        <w:trPr>
          <w:trHeight w:val="47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2014-2020 годы</w:t>
            </w:r>
          </w:p>
        </w:tc>
        <w:tc>
          <w:tcPr>
            <w:tcW w:w="6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23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85782,412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3143,512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34961,4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15163,4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60222,85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75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6453,65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11670,2</w:t>
            </w:r>
          </w:p>
        </w:tc>
      </w:tr>
      <w:tr w:rsidR="00954C0C" w:rsidRPr="00954C0C" w:rsidTr="00CA7706">
        <w:trPr>
          <w:trHeight w:val="41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 Белгородской области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7518,85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490,0</w:t>
            </w:r>
          </w:p>
        </w:tc>
      </w:tr>
      <w:tr w:rsidR="00954C0C" w:rsidRPr="00954C0C" w:rsidTr="00CA7706">
        <w:trPr>
          <w:trHeight w:val="136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3597,112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69,512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745,0</w:t>
            </w:r>
          </w:p>
        </w:tc>
      </w:tr>
      <w:tr w:rsidR="00954C0C" w:rsidRPr="00954C0C" w:rsidTr="00CA7706">
        <w:trPr>
          <w:trHeight w:val="45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14443,6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2258,20</w:t>
            </w:r>
          </w:p>
        </w:tc>
      </w:tr>
    </w:tbl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Программы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тыс. рублей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077"/>
        <w:gridCol w:w="1134"/>
        <w:gridCol w:w="1049"/>
        <w:gridCol w:w="992"/>
        <w:gridCol w:w="1134"/>
        <w:gridCol w:w="1134"/>
      </w:tblGrid>
      <w:tr w:rsidR="00954C0C" w:rsidRPr="00954C0C" w:rsidTr="00CA7706">
        <w:trPr>
          <w:trHeight w:val="47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2021-2026 годы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23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41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35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45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Ресурсное обеспечение и прогнозная (справочная) оценка расходов на реализацию мероприятий Программы,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 Программы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за счет средств бюджета Губкинского городского округа Белгородской области по годам представлены соответственно в приложении № 4 к Программе.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6. Анализ рисков реализации муниципальной программы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и описание мер управления рисками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Макроэкономические риски свя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экономичекое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стимулирование малого и среднего бизнеса для реализации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Возникновение данных рисков может привести к сокращению объемов и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прекращению финансирования мероприятий Программы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невыполнению результатов муниципальной программы.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Способами ограничения финансовых рисков выступают следующие меры: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определение приоритетов для первоочередного финансирования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применение методик оценки эффективности бюджетных расходов.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 С целью управления информационными рисками будет проводиться работа, направленная на: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рограммы;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мониторинг и оценку исполнения целевых показателей (индикаторов)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рограммы, выявление факторов риска, оценку их значимости.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рограммы, невыполнение ее цели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  задач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недостижение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плановых значений показателей. Основные условия ми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нимизации административных рисков: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формирование эффективной системы управления реализацией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 и её подпрограмм;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регулярная публикация в СМИ отчетов о ходе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 и подпрограмм;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повышение эффективности взаимодействия участников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создание системы мониторинга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своевременная корректировка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Управление рисками будет осуществляться в соответствии с федеральным, региональным и местным законодательством.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общественного питания на территории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Губкинского городского округа Белгородской области»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244"/>
      </w:tblGrid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общественного питания на территории Губкинского городского округа Белгородской области» (далее – подпрограмма 1)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 подпрограмму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создание условий для развития обще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доступной сети и предприятий обществен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ного питания на туристических марш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рутах;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информационно-аналитическое 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обес</w:t>
            </w:r>
            <w:proofErr w:type="spell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                                                                            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чение в области предоставления услуг общественного питания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ассиг-нований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подпрограммы 1              за   счет    средств    бюджета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 xml:space="preserve">Белгородской </w:t>
            </w:r>
            <w:proofErr w:type="gramStart"/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об-</w:t>
            </w:r>
            <w:proofErr w:type="spellStart"/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ласти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(с расшифровкой плановых объемов бюджет-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Финансирование подпрограммы 1 осуществляется за счет средств бюджета Губкинского городского округа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утвержденного на соответствующий год по соответствующим статьям бюджетной классификации. Общий объем финансирования мероприятий     подпрограммы 1 на 2014 – 2026 годы составляет 384 тыс. рублей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,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г. –  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г. – 28 тыс. рублей.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г. – 28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подпрог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 xml:space="preserve">раммы 1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Показатели конечных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результатов реализации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1.1. Объем товарооборота общественного питания.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 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contextualSpacing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1.3. 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питания.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8.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Конечные результаты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реализации подпрограммы 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917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1.Увеличение оборота общественного питания до 990,5 млн.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645"/>
                <w:tab w:val="left" w:pos="917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2.Увеличение оборота общественного питания на душу населения до 8,8 тыс.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Количество посадочных мест в предприятиях общественного питания не менее 9200 ед.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Обеспечение населения посадочными местами в предприятиях общественного питания до 82 единицы на 1 тысячу жителей к 2026 году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Характеристика сферы реализации подпрограммы 1,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8000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2012 году оборот общественного питания составил 346,1 млн. рублей, в 2011 году – 280,6 млн. рублей, в 2010 году 262,5 млн. рублей. В расчете на душу населения в 2012 году оборот общественного питания составил                       2860 рублей, что к соответствующему периоду предыдущего года составляет 123,4%.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 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рестораны – 7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бары – 6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кафе – 26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пиццерии – 2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столовые (закрытая сеть) – 74 ед.; в том числе при промышленных предприятиях – 37 ед., школьные столовые – 37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столовые (общедоступная сеть) – 4 ед. 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закусочные – 28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буфеты – 13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кулинарии – 5 ед.</w:t>
      </w:r>
    </w:p>
    <w:p w:rsidR="00954C0C" w:rsidRPr="00954C0C" w:rsidRDefault="00954C0C" w:rsidP="00954C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«Линия»; ТЦ «Европа»; мясные лавки и т.д.).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слабо развит сегмент по оказанию услуг общественного питания в отдаленных и малочисленных населенных пунктах; 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недостаточное количество специализированных организаций диетического питания, детских и студенческих кафе.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 - экономической стабильности и развития отрасли);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«Губкинский горно-политехнический колледж»,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«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Старооскольский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учебный центр повышения квалификации». </w:t>
      </w:r>
    </w:p>
    <w:p w:rsidR="00954C0C" w:rsidRPr="00954C0C" w:rsidRDefault="00954C0C" w:rsidP="00954C0C">
      <w:pPr>
        <w:widowControl w:val="0"/>
        <w:tabs>
          <w:tab w:val="left" w:pos="0"/>
          <w:tab w:val="left" w:pos="180"/>
          <w:tab w:val="left" w:pos="72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целях повышения уровня профессионализма, а также престижности рабочих специальностей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1</w:t>
      </w: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1 является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главной цели связано с решением следующих задач:</w:t>
      </w:r>
    </w:p>
    <w:p w:rsidR="00954C0C" w:rsidRPr="00954C0C" w:rsidRDefault="00954C0C" w:rsidP="00954C0C">
      <w:pPr>
        <w:widowControl w:val="0"/>
        <w:tabs>
          <w:tab w:val="left" w:pos="-108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- обеспечение сбалансиро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ван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ного развития и раз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щения инфраструктуры обществен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го питания;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повышение качества и куль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туры обслуживания насе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ния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стимулирование развития сферы общественного питания в сельской местности, в том числе в отдаленных и мало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чис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ленных населенных пунк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тах;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создание условий для раз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ви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тия общедоступной сети и пред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при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ятий общественного пита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ния на туристических маршрутах;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информационно-аналитическое обеспечение в области предоставления услуг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городского округа.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ним относятся: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недостаточная эффективность государственного регулирования;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недостаточный уровень развития инфраструктуры (недостаток обще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доступных объектов питания, высокая стоимость аренды объектов недви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жимости и земли, высокая стоимость проведения работ по обеспе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че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нию инженерными коммуникациями, недостаток предприятий обществен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ного питания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т.д.);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низкая квалификация и недостаток кадров на всех уровнях;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недостаточная привлекательность для бизнеса развития общественного питания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1: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2014-2020 годы, I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2021-2026 годы.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 описание основных мероприятий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комплексность, под которой понимается максимальная широта охвата факторов, влияющих на сферу общественного питания;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повышение эффективности реализуемых и внедрение новых мер на ос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ве анализа практики для создания условий развития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954C0C" w:rsidRPr="00954C0C" w:rsidRDefault="00954C0C" w:rsidP="00954C0C">
      <w:pPr>
        <w:widowControl w:val="0"/>
        <w:tabs>
          <w:tab w:val="left" w:pos="-1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Мероприятия, направленные на повышение уровня                                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подпрограммой 1, обеспечит интенсивное развитие сферы общественного питания, повышение качества и безопасности услуг.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1 выражается в повышении качества жизни населения; увеличении количества предприятий общественного питания за счет привлечения средств фонда поддержки малого и среднего бизнеса; обеспеченности населения посадочными местами; совершенствовании системы подготовки и переподготовки кадров для сферы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них факторов социально-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экономического развития. Достижение прогнози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руе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207"/>
        <w:gridCol w:w="1134"/>
        <w:gridCol w:w="709"/>
        <w:gridCol w:w="709"/>
        <w:gridCol w:w="708"/>
        <w:gridCol w:w="709"/>
        <w:gridCol w:w="709"/>
        <w:gridCol w:w="850"/>
        <w:gridCol w:w="851"/>
        <w:gridCol w:w="810"/>
      </w:tblGrid>
      <w:tr w:rsidR="00954C0C" w:rsidRPr="00954C0C" w:rsidTr="00CA7706">
        <w:trPr>
          <w:trHeight w:val="65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rPr>
          <w:trHeight w:val="22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Объем товарооборота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407,8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451,2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513,8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954C0C" w:rsidRPr="00954C0C" w:rsidTr="00CA7706">
        <w:trPr>
          <w:trHeight w:val="10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9521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9450</w:t>
            </w:r>
          </w:p>
        </w:tc>
      </w:tr>
      <w:tr w:rsidR="00954C0C" w:rsidRPr="00954C0C" w:rsidTr="00CA7706">
        <w:trPr>
          <w:trHeight w:val="32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Обеспеченность населения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доч-ными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местами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приятиях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 питания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79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81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83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2 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             тыс. рублей</w:t>
      </w: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533"/>
        <w:gridCol w:w="30"/>
        <w:gridCol w:w="2506"/>
        <w:gridCol w:w="43"/>
        <w:gridCol w:w="1091"/>
        <w:gridCol w:w="43"/>
        <w:gridCol w:w="977"/>
        <w:gridCol w:w="36"/>
        <w:gridCol w:w="815"/>
        <w:gridCol w:w="36"/>
        <w:gridCol w:w="956"/>
        <w:gridCol w:w="36"/>
        <w:gridCol w:w="814"/>
        <w:gridCol w:w="36"/>
        <w:gridCol w:w="815"/>
        <w:gridCol w:w="36"/>
        <w:gridCol w:w="1098"/>
        <w:gridCol w:w="36"/>
      </w:tblGrid>
      <w:tr w:rsidR="00954C0C" w:rsidRPr="00954C0C" w:rsidTr="00CA7706">
        <w:trPr>
          <w:gridBefore w:val="1"/>
          <w:wBefore w:w="27" w:type="dxa"/>
          <w:trHeight w:val="56"/>
          <w:tblHeader/>
          <w:jc w:val="center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9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rPr>
          <w:gridBefore w:val="1"/>
          <w:wBefore w:w="27" w:type="dxa"/>
          <w:trHeight w:val="409"/>
          <w:tblHeader/>
          <w:jc w:val="center"/>
        </w:trPr>
        <w:tc>
          <w:tcPr>
            <w:tcW w:w="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gridAfter w:val="1"/>
          <w:wAfter w:w="36" w:type="dxa"/>
          <w:trHeight w:val="56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Объем товарооборота общественного питания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990,5</w:t>
            </w:r>
          </w:p>
        </w:tc>
      </w:tr>
      <w:tr w:rsidR="00954C0C" w:rsidRPr="00954C0C" w:rsidTr="00CA7706">
        <w:trPr>
          <w:gridAfter w:val="1"/>
          <w:wAfter w:w="36" w:type="dxa"/>
          <w:trHeight w:val="56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954C0C" w:rsidRPr="00954C0C" w:rsidTr="00CA7706">
        <w:trPr>
          <w:gridAfter w:val="1"/>
          <w:wAfter w:w="36" w:type="dxa"/>
          <w:trHeight w:val="100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общественного питания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9200</w:t>
            </w:r>
          </w:p>
        </w:tc>
      </w:tr>
      <w:tr w:rsidR="00954C0C" w:rsidRPr="00954C0C" w:rsidTr="00CA7706">
        <w:trPr>
          <w:gridAfter w:val="1"/>
          <w:wAfter w:w="36" w:type="dxa"/>
          <w:trHeight w:val="32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населения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дочными местами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приятиях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 питания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Общий объем финансирования подпрограммы 1 за 2014-2026 годы составит 384 тысячи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1944"/>
        <w:gridCol w:w="851"/>
        <w:gridCol w:w="708"/>
        <w:gridCol w:w="709"/>
        <w:gridCol w:w="709"/>
        <w:gridCol w:w="709"/>
        <w:gridCol w:w="708"/>
        <w:gridCol w:w="686"/>
        <w:gridCol w:w="15"/>
      </w:tblGrid>
      <w:tr w:rsidR="00954C0C" w:rsidRPr="00954C0C" w:rsidTr="00CA7706">
        <w:trPr>
          <w:gridAfter w:val="1"/>
          <w:wAfter w:w="15" w:type="dxa"/>
          <w:trHeight w:val="443"/>
          <w:jc w:val="center"/>
        </w:trPr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lastRenderedPageBreak/>
              <w:t>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1</w:t>
            </w:r>
          </w:p>
        </w:tc>
        <w:tc>
          <w:tcPr>
            <w:tcW w:w="5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в том числе по годам реализации: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795"/>
          <w:jc w:val="center"/>
        </w:trPr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              Губкинского городского округа Белгородской области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410"/>
        <w:gridCol w:w="708"/>
        <w:gridCol w:w="709"/>
        <w:gridCol w:w="709"/>
        <w:gridCol w:w="709"/>
        <w:gridCol w:w="708"/>
        <w:gridCol w:w="732"/>
      </w:tblGrid>
      <w:tr w:rsidR="00954C0C" w:rsidRPr="00954C0C" w:rsidTr="00CA7706">
        <w:trPr>
          <w:trHeight w:val="443"/>
          <w:jc w:val="center"/>
        </w:trPr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 весь период реализации подпрограммы 1</w:t>
            </w:r>
          </w:p>
        </w:tc>
        <w:tc>
          <w:tcPr>
            <w:tcW w:w="4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2021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22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23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24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26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459"/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              Губкинского городского округа Белгородской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торговли на территории Губкинского городского округа Белгородской области»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tbl>
      <w:tblPr>
        <w:tblW w:w="992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6094"/>
      </w:tblGrid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 (далее – подпрограмма 2)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Соисполнитель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муниципальной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 подпрограмму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Максимально полное удовлетворение потребностей населения городского округа в товарах за счет обеспечения эффек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тивного развития инфраструктуры отрасли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сбалансированного развития и размещения инфраструктуры оптовой и розничной торговли;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</w:t>
            </w:r>
            <w:proofErr w:type="spellStart"/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объек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ов</w:t>
            </w:r>
            <w:proofErr w:type="spellEnd"/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торговых объектов шаговой доступности;</w:t>
            </w:r>
          </w:p>
          <w:p w:rsidR="00954C0C" w:rsidRPr="00954C0C" w:rsidRDefault="00954C0C" w:rsidP="00954C0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продвижение на потребительский рынок городского округа товаров отечественного про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изводства, в том числе областных производителей;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экономической (ценовой) доступ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стимулирование деловой активности хозяйст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вующих субъектов, осуществляющих торговую деятельность, и организация взаимодействия между хозяйствующими субъектами,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тами, осуществляющими производство (постав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ки) товаров на территории Белгородской области;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  <w:tab w:val="left" w:pos="72"/>
                <w:tab w:val="left" w:pos="25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качества и культуры торгового сервиса для населения городского округа;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информационно-аналитическое обеспечение в области торговой деятельности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реали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за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ции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132"/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Объем бюджетных ас-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сигнований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подпрог-раммы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2 за счет средств бюджета 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(с расшифровкой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пла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-новых 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объемов бюджет-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),   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          а также прогнозный объем средств,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привле-каемых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из других источников 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1257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Финансирование подпрограммы 2 осуществля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ется за счет средств бюджета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ского округа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утвержденного на соответству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ющий год по соответствующим статьям бюджет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классификации. Общий объем финансиро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вания мероприятий подпрограммы 2 на 2014-2026 годы состав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ет 374 тыс. рублей,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2014 г. – 20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г. –  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г. – 28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про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 xml:space="preserve">граммы 2 ежегодно подлежат уточнению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при формировании бюджета на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2.1. Объем розничного товарооборота.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 Объем розничного товарооборота                     на душу населения.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2.3. Торговая площадь.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2.4. Обеспеченность торговыми площадями на 1 тысячу жителей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8.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Увеличение розничного товарооборота до 38,5 млрд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Увеличение розничного товарооборота на душу населения до 343,6 тыс.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Торговая площадь в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ском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ском округе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достигнет значения 90,3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тыс.кв.м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2026 году.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4. Увеличение показателя обеспеченности на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селения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торговыми площадями в предприятиях торговли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до 805,8 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на                      1 тысячу жителей к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2026 году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Характеристика сферы реализации подпрограммы 2,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магазинов,  42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павильона, 111 киосков.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                      1 тысячу жителей в Губкинском городском округе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 447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кв.м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>. Таким образом, к 2014 году достигнуто не только значение минимального нормативного показателя, но и его превышение на 34,9%.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тысяч рублей. </w:t>
      </w:r>
    </w:p>
    <w:p w:rsidR="00954C0C" w:rsidRPr="00954C0C" w:rsidRDefault="00954C0C" w:rsidP="00954C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Покупательская активность населения стимулирует появление новых торговых объектов. В 2013 году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в эксплуатацию введены 42 магазина. 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Общими принципами развития розничной торговой сети являются: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формирование крупных универсальных розничных предприятий, торговых центров и торговых комплексов;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функционирование системы «магазинов шаговой доступности», торгующих широким ассортиментом продовольственных и непродовольственных товаров;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строительство торговых комплексов в жилых массивах;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развитие зон торгового обслуживания вдоль автомагистралей и туристических маршрутов.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 xml:space="preserve"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подпрограммой 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Анализируя сложившуюся ситуацию в сфере торговли, можно выделить следующие проблемы: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Уровень развития торговли во многом определяется обеспеченностью квалифицированными кадрами.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– залог успеха любого предприятия.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Повышение уровня конкурентоспособности предприятий в решающей степени определяется качеством имеющегося персонала: его квалификацией, потен</w:t>
      </w:r>
      <w:r w:rsidRPr="00954C0C">
        <w:rPr>
          <w:rFonts w:ascii="Arial" w:eastAsia="Times New Roman" w:hAnsi="Arial" w:cs="Arial"/>
          <w:sz w:val="20"/>
          <w:szCs w:val="20"/>
          <w:lang w:eastAsia="ar-SA"/>
        </w:rPr>
        <w:softHyphen/>
        <w:t>циалом, степенью сплоченности и мотивацией к высокопроиз</w:t>
      </w:r>
      <w:r w:rsidRPr="00954C0C">
        <w:rPr>
          <w:rFonts w:ascii="Arial" w:eastAsia="Times New Roman" w:hAnsi="Arial" w:cs="Arial"/>
          <w:sz w:val="20"/>
          <w:szCs w:val="20"/>
          <w:lang w:eastAsia="ar-SA"/>
        </w:rPr>
        <w:softHyphen/>
        <w:t>водительному труду.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хорошего профессионального уровня и способности работать по обозначенной профессии;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прочных знаний, умений и навыков по избранной профессии;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обладание элементами общей культуры и умение применять их на практике;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обладание знаниями основ психологии и умение работать с потребителями;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чувства адаптации к новым нестандартным условиям, принятие верных решений в сложных ситуациях.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2 является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максимально полное удовлетворение потребностей населения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Цель обуславливает решение основных задач: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обеспечение сбалансированного развития и размещения инфраструктуры оптовой и розничной торговли;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72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торговли в сельской местности, в том числе в отдаленных или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2"/>
        </w:numPr>
        <w:tabs>
          <w:tab w:val="left" w:pos="0"/>
          <w:tab w:val="left" w:pos="72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торгового сервиса для населения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информационно-аналитическое обеспечение в области торговой деятельности.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Большинство основных проблем развития данной сферы являются общими для всего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ним относятся: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недостаточная эффективность государственного регулирования;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низкая квалификация и недостаток кадров на всех уровнях;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недостаточная привлекательность для бизнеса развития торговли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2: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I этап: 2014-2020 годы, II этап: 2021-2026 годы.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 описание основных мероприятий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 2 соответствует следующим принципам: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комплексность, под которой понимается максимальная широта охвата факторов, влияющих на потребительский рынок;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954C0C" w:rsidRPr="00954C0C" w:rsidRDefault="00954C0C" w:rsidP="00954C0C">
      <w:pPr>
        <w:tabs>
          <w:tab w:val="left" w:pos="-108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954C0C" w:rsidRPr="00954C0C" w:rsidRDefault="00954C0C" w:rsidP="00954C0C">
      <w:pPr>
        <w:tabs>
          <w:tab w:val="left" w:pos="-108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Система программных мероприятий по реализации подпрограммы 2 приведена в приложении № 4 к Программе.</w:t>
      </w:r>
    </w:p>
    <w:p w:rsidR="00954C0C" w:rsidRPr="00954C0C" w:rsidRDefault="00954C0C" w:rsidP="00954C0C">
      <w:pPr>
        <w:widowControl w:val="0"/>
        <w:tabs>
          <w:tab w:val="left" w:pos="71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71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мой 2, обеспечит проведение целенаправленной муниципальной политики, направ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лен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ной на интенсивное развитие потребительского рынка, повышение качества и безопасности реализуемых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них факторов социально-экономического развития, в том числе изменений, свя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ных со вступлением Российской Федерации во Всемирную торговую орга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723"/>
        <w:gridCol w:w="851"/>
        <w:gridCol w:w="864"/>
        <w:gridCol w:w="737"/>
        <w:gridCol w:w="738"/>
        <w:gridCol w:w="738"/>
        <w:gridCol w:w="885"/>
        <w:gridCol w:w="886"/>
        <w:gridCol w:w="885"/>
        <w:gridCol w:w="886"/>
      </w:tblGrid>
      <w:tr w:rsidR="00954C0C" w:rsidRPr="00954C0C" w:rsidTr="00CA7706">
        <w:tc>
          <w:tcPr>
            <w:tcW w:w="545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6" w:right="-113" w:firstLine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Еди-ница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-рения</w:t>
            </w:r>
          </w:p>
        </w:tc>
        <w:tc>
          <w:tcPr>
            <w:tcW w:w="6619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c>
          <w:tcPr>
            <w:tcW w:w="545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млрд руб.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16,6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24,3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 на душу населения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131,6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172,3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181,5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194,3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207,9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Торговая площадь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кв. м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72,6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75,2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77,0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 на 1 тысячу жителей</w:t>
            </w: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641,7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691,6</w:t>
            </w:r>
          </w:p>
        </w:tc>
      </w:tr>
    </w:tbl>
    <w:p w:rsidR="00954C0C" w:rsidRPr="00954C0C" w:rsidRDefault="00954C0C" w:rsidP="00954C0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007"/>
        <w:gridCol w:w="1134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c>
          <w:tcPr>
            <w:tcW w:w="545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6" w:right="-113" w:firstLine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Еди-ница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-рения</w:t>
            </w:r>
          </w:p>
        </w:tc>
        <w:tc>
          <w:tcPr>
            <w:tcW w:w="5953" w:type="dxa"/>
            <w:gridSpan w:val="6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c>
          <w:tcPr>
            <w:tcW w:w="545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млрд руб.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38,5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 на душу населения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343,6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Торговая площадь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кв. м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90,3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 на 1 тысячу жителей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747,9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758,4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Общий объем финансирования подпрограммы 2 за 2014-2026 годы составит 374 тысячи рублей. Объемы и источники финансирования по годам реализации приведены в таблицах 1 и 2 соответственно этапам реализации подпрограммы: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тыс. рублей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1927"/>
        <w:gridCol w:w="709"/>
        <w:gridCol w:w="709"/>
        <w:gridCol w:w="708"/>
        <w:gridCol w:w="709"/>
        <w:gridCol w:w="709"/>
        <w:gridCol w:w="709"/>
        <w:gridCol w:w="722"/>
      </w:tblGrid>
      <w:tr w:rsidR="00954C0C" w:rsidRPr="00954C0C" w:rsidTr="00CA7706">
        <w:trPr>
          <w:trHeight w:val="264"/>
          <w:jc w:val="center"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</w:p>
        </w:tc>
        <w:tc>
          <w:tcPr>
            <w:tcW w:w="4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141"/>
          <w:jc w:val="center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87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132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тыс. рублей</w:t>
      </w: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1984"/>
        <w:gridCol w:w="851"/>
        <w:gridCol w:w="850"/>
        <w:gridCol w:w="851"/>
        <w:gridCol w:w="850"/>
        <w:gridCol w:w="851"/>
        <w:gridCol w:w="800"/>
      </w:tblGrid>
      <w:tr w:rsidR="00954C0C" w:rsidRPr="00954C0C" w:rsidTr="00CA7706">
        <w:trPr>
          <w:trHeight w:val="264"/>
          <w:jc w:val="center"/>
        </w:trPr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141"/>
          <w:jc w:val="center"/>
        </w:trPr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trHeight w:val="87"/>
          <w:jc w:val="center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132"/>
          <w:jc w:val="center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«Развитие и поддержка малого и среднего предпринимательства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 Губкинском городском округе Белгородской </w:t>
      </w:r>
      <w:proofErr w:type="spellStart"/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оласти</w:t>
      </w:r>
      <w:proofErr w:type="spellEnd"/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и поддержка малого и                сред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него предпринимательства в Губкинском городском округе Белгородской области» (далее – подпрограмма 3)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 ответственный за подпрограмму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округа (в лице управления экономики и ценовой политики)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округа (в лице управления сельского хозяйства)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Обеспечение благоприятных условий для развития и комплексной поддержки субъектов малого и среднего                       предприни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в целях повышения его вклада в социально-экономическое развитие 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numPr>
                <w:ilvl w:val="0"/>
                <w:numId w:val="30"/>
              </w:num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954C0C" w:rsidRPr="00954C0C" w:rsidRDefault="00954C0C" w:rsidP="00954C0C">
            <w:pPr>
              <w:tabs>
                <w:tab w:val="left" w:pos="67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 Оказание финансовой, образовательной, информационной, консультационной поддержки </w:t>
            </w:r>
            <w:r w:rsidRPr="00954C0C">
              <w:rPr>
                <w:rFonts w:ascii="Arial" w:eastAsia="Arial Unicode MS" w:hAnsi="Arial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приоритетных направлений деятельности субъектов малого и среднего предпринимательства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в том числе с использованием инфраструктуры поддержки малого и среднего предпринимательства в Губкинском городском округе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954C0C" w:rsidRPr="00954C0C" w:rsidRDefault="00954C0C" w:rsidP="00954C0C">
            <w:pPr>
              <w:tabs>
                <w:tab w:val="left" w:pos="454"/>
                <w:tab w:val="left" w:pos="742"/>
              </w:tabs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 Поддержка сельскохозяйственной деятельности малого и среднего                        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 в форме возмещения части процентной ставки по кредитам КФХ и ЛПХ.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Оказание содействия субъектам малого и среднего предпринимательства в участии в областном мероприятии «Программа «500/10000».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2014-2026 годы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56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ас-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сигнований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подпрограммы 3 за счет средств бюджета Губкин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ского городского округа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Белгородской области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(с расшифровкой плановых объемов бюджетных ассигно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ваний по годам ее реализа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ции), а также прогнозный объем средств, привлекаемых из других источников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tabs>
                <w:tab w:val="left" w:pos="67"/>
                <w:tab w:val="left" w:pos="402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Общий объем ресурсного обеспечения подпрограммы на 2014-2026 годы – 85844,112 тыс. рублей, в том числе за счет средств федерального бюджета*** – 60222,85 тыс. рублей, средств областного бюджета Белгородской области*** – 7518,85 тыс. рублей, средств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бюджета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3658,812 тыс. рублей, средств иных источников – 14443,6 тыс. рублей, из них: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  <w:tab w:val="left" w:pos="1270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планируемое финансирование за счет средств федерального бюджета,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2750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4050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860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6870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2018 год – 6453,65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27569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11670,2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планируемое финансирование за счет средств областного бюджета Белгород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ской области,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324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244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133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3412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1746,35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1169,5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490,0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– бюджет Губкинского городского округа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  19,512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     61,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    148,0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    151,0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    462,2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  1643,9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    689,0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      60,0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      87,7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– иные источники,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7000,0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  662,4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4523,0 тыс. рублей.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2258,2 тыс. рублей.</w:t>
            </w:r>
          </w:p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На реализацию мероприятий подпрограммы 3 кроме того предусмотрено в 2014-2026 годах предоставление муниципальной гарантии      Губкинского городского округа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в объеме 3 млн. рублей*</w:t>
            </w:r>
          </w:p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подпрог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раммы 3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 1. Оборот малых и средних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ятий в действующих ценах.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2. Доля занятых в малом бизнесе, вклю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чая ИП, в общей численности занятых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Конечные результаты реализации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3**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66"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Увеличение годового оборота малых и средних предприятий в действу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ю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щих ценах по годам до 20,4 млрд. рублей в 2020 году, до 27,3 млрд рублей в 2026 году.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2. Достижение уровня доли занятых в малом и среднем бизнесе, включая ИП, в общей численности занятых к 2020 году 27,5%, к 2026 году –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29,1 %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Примечания: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 решением Совета депутатов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 бюджете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*** планируемый объем финансирования.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1. Характеристика сферы реализации подпрограммы 3,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Одним из важнейших блоков Программы является стимулирование развития малого и среднего предпринимательства.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3 предусматривается совершенствование инфраструктуры под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держ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ки малого и среднего предпринимательства, а также повышение доступности финансовых ресур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сов для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нимательства; обеспечение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информационной и консуль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ци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онной поддержки, а также поддержки субъектов малого и среднего предпринимательства в области ремесленной и выставочно-ярмарочной деятель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Общая оценка ситуации на основе динамики главных показателей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Субъекты малого и среднего предпринимательства играют весьма важ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держку субъектам малого и среднего предпринимательства. </w:t>
      </w:r>
    </w:p>
    <w:p w:rsidR="00954C0C" w:rsidRPr="00954C0C" w:rsidRDefault="00954C0C" w:rsidP="00954C0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</w:p>
    <w:p w:rsidR="00954C0C" w:rsidRPr="00954C0C" w:rsidRDefault="00954C0C" w:rsidP="00954C0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Малое и среднее предпринимательство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по состоянию на 30 сентября 2017 года представляют 3572 субъекта, из них – 2855 индивидуальных предпринимателей                           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– 8077 человек.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2"/>
        <w:gridCol w:w="992"/>
        <w:gridCol w:w="1114"/>
        <w:gridCol w:w="1058"/>
        <w:gridCol w:w="1134"/>
      </w:tblGrid>
      <w:tr w:rsidR="00954C0C" w:rsidRPr="00954C0C" w:rsidTr="00CA7706">
        <w:trPr>
          <w:tblHeader/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2012г.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Создано рабочих мест,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Оборот малых и средних предприятий,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млн.руб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10 153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9 999,5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налоговых поступлений от малого предпринимательства в общей сумме налоговых до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ходов консолидированного бюджета муниципального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малым и средним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приятиям, тыс. 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8,42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рабочих мест в малом и среднем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бизнесе,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5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Доля муниципальных закупок у субъектов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малого предпринимательства,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5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14,77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на 2013-2016 годы».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Показатели поддержки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представлены следующим образом: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276"/>
        <w:gridCol w:w="992"/>
        <w:gridCol w:w="1044"/>
        <w:gridCol w:w="987"/>
        <w:gridCol w:w="956"/>
      </w:tblGrid>
      <w:tr w:rsidR="00954C0C" w:rsidRPr="00954C0C" w:rsidTr="00CA7706">
        <w:trPr>
          <w:tblHeader/>
        </w:trPr>
        <w:tc>
          <w:tcPr>
            <w:tcW w:w="453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Показатели поддержки</w:t>
            </w:r>
          </w:p>
        </w:tc>
        <w:tc>
          <w:tcPr>
            <w:tcW w:w="127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992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1044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987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2012г.</w:t>
            </w:r>
          </w:p>
        </w:tc>
        <w:tc>
          <w:tcPr>
            <w:tcW w:w="95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2013г.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Обратились за консультацией по вопросу ведения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деятельности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Льготные займы в БОФПМСП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количество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общая сумма,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4962,0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7260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5852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7670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28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Гранты начинающим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телям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количество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общая сумма,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1400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Субсидирование лизинговых до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ров, ед.,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42" w:right="-8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42" w:right="-8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104,4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Выдано рекомендаций для обращения в БОФПМСП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</w:tr>
      <w:tr w:rsidR="00954C0C" w:rsidRPr="00954C0C" w:rsidTr="00CA7706">
        <w:tc>
          <w:tcPr>
            <w:tcW w:w="453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Празднование Дня российского предпринимательства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954C0C" w:rsidRPr="00954C0C" w:rsidTr="00CA7706">
        <w:trPr>
          <w:trHeight w:val="84"/>
        </w:trPr>
        <w:tc>
          <w:tcPr>
            <w:tcW w:w="453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Имущественная поддержка СМП в форме: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954C0C" w:rsidRPr="00954C0C" w:rsidTr="00CA7706">
        <w:trPr>
          <w:trHeight w:val="10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31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муниципальной преферен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954C0C" w:rsidRPr="00954C0C" w:rsidTr="00CA7706">
        <w:trPr>
          <w:trHeight w:val="2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31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арендная плата в год, тыс. 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531,99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701,3</w:t>
            </w:r>
          </w:p>
        </w:tc>
      </w:tr>
      <w:tr w:rsidR="00954C0C" w:rsidRPr="00954C0C" w:rsidTr="00CA7706">
        <w:trPr>
          <w:trHeight w:val="359"/>
        </w:trPr>
        <w:tc>
          <w:tcPr>
            <w:tcW w:w="453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реализации преимущест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права приобретения арен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дуемого имущества с 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срочкой на 4 года, единиц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954C0C" w:rsidRPr="00954C0C" w:rsidTr="00CA7706">
        <w:trPr>
          <w:trHeight w:val="9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 стоимость имущества,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2868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8377,2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2723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1 803,7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ЛПХ и КФХ в целях развития кредитных потребитель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коо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вов, сельско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зяйственных потре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би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ко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ративов, крестьян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(фер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мер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ских) хо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зяйств и других малых форм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ствования на селе: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8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просубсидировано кредитов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</w:tr>
      <w:tr w:rsidR="00954C0C" w:rsidRPr="00954C0C" w:rsidTr="00CA7706">
        <w:trPr>
          <w:trHeight w:val="8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на сумму субсидий,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1520,7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2107,7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3672,2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1.2. Анализ причин возникновения проблемы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954C0C" w:rsidRPr="00954C0C" w:rsidRDefault="00954C0C" w:rsidP="00954C0C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период 2014-2026 годов для поддержки и развития субъектов малого и среднего предпринимательства Губкинского городского округа Белгородской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области  актуально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954C0C" w:rsidRPr="00954C0C" w:rsidRDefault="00954C0C" w:rsidP="00954C0C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1.3. Связь с приоритетами социально-экономического развития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Губкинского городского округа Белгородской области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Содержание и мероприятия подпрограммы 3 соответствуют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второму стратегическому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«Развитие экономического потенциала Губкинского городского округа»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sz w:val="20"/>
          <w:szCs w:val="20"/>
          <w:lang w:eastAsia="ru-RU"/>
        </w:rPr>
        <w:t xml:space="preserve">Цели, задачи, мероприятия и показатели реализации подпрограммы 3 соответствуют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b/>
          <w:sz w:val="20"/>
          <w:szCs w:val="20"/>
          <w:lang w:eastAsia="ru-RU"/>
        </w:rPr>
        <w:t>1.</w:t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4. Обоснование необходимости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решения проблемы программно-целевым методом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период реализации подпрограммы 3 будет реализовываться комплекс мер, направленных на активизацию развития предпринимательства,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 также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Цель, задачи, сроки и этапы реализации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округа,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временному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графику  реализации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подпрограммы 3. 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Базовыми положениями подпрограммы 3 являются: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муниципальная поддержка малого и среднего предпринимательства, осу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ществ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ляемая на основе соблюдения взаимовыгодного сотрудничества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нимателей, органов государственной власти и местного самоуправления.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заявленной цели потребует решения следующих задач: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Содействие участию в ремесленной и выставочно-ярмарочной                 дея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тель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сти субъектов малого и среднего предпринимательства.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>Оказание содействия субъектам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 xml:space="preserve"> в участии в областном мероприятии «Программа «500/10000».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Участниками Программы «500/10000»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  2017 по 2022 годы в сферах экономической деятельности, предусмотренных разделами A, </w:t>
      </w:r>
      <w:hyperlink r:id="rId37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C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8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F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9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I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40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M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41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S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Общероссийского классификатора видов экономической деятельности (ОК 029-2014 (КДЕС Ред. 2), утвержденного Приказом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Росстандарта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от 31 января 2014 года № 14-ст.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Государственная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доход», предусмотренная статьями 17 - 21, 23, 25 настоящего Федерального закона, и поддержка, предоставляемая                АО «Корпорация МСП»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статьей 15 Федерального закона от 24 июля 2007 года № 209-ФЗ «О развитии малого и среднего предпринимательства в Российской Федерации», оказывающих субъектам малого и среднего предпринимательства следующие формы поддержки: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финансовую;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имущественную;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информационную;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консультационную;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в области подготовки, переподготовки и повышения квалификации работников;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в области инноваций и промышленного производства, ремесленничества;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субъектов малого и среднего предпринимательства, осуществляющих внешнеэкономическую деятельность;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субъектов малого и среднего предпринимательства, осуществляющих сельскохозяйственную деятельность.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2.6. Повышение доступности финансовых ресурсов для субъектов малого и среднего предпринимательства.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Начиная с 2021 года субсидии в рамках реализации национального проекта «Малое и среднее предпринимательство и поддержка индивидуальной предпринимательской инициативы» предоставляются Белгородской области по направлениям, предусмотренным следующими федеральными (региональными) проектами: проектом 3.12 «Создание благоприятных условий для осуществления деятельности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самозанятыми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гражданами», проектом 3.14 «Создание условий для легкого старта и комфортного ведения бизнеса», проектом 3.15 «Акселерация субъектов малого и среднего предпринимательства», в том числе: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lastRenderedPageBreak/>
        <w:t xml:space="preserve">реализация проекта 3.12 «Создание благоприятных условий для осуществления деятельности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самозанятыми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гражданами».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реализация проекта 3.14 «Создание условий для легкого старта и комфортного ведения бизнеса».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«Мой бизнес», а также в федеральных институтах развития;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реализация проекта 3.15 «Акселерация субъектов малого и среднего предпринимательства».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С 2021 года в рамках проекта продолжится оказание комплекса услуг, сервисов и мер поддержки субъектам малого и среднего предпринимательства в центре «Мой бизнес»,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«Центр координации поддержки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экспортно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ориентированных субъектов малого и среднего предпринимательства Белгородской области», также созданную в марте 2019 года.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производственная и инновационная деятельность;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природоохранная деятельность;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переработка вторичного сырья;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строительство;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сельское хозяйство;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рыбоводство</w:t>
      </w:r>
      <w:r w:rsidRPr="00954C0C">
        <w:rPr>
          <w:rFonts w:ascii="Arial" w:eastAsia="Times New Roman" w:hAnsi="Arial" w:cs="Arial"/>
          <w:sz w:val="20"/>
          <w:szCs w:val="20"/>
          <w:lang w:val="en-US"/>
        </w:rPr>
        <w:t>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оптово-розничной торговли, общест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предпринимательской деятельности в сфере жилищно-коммунального хозяйства;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организация групп дневного времяпрепровождения детей дошкольного возраста и создание дошкольных образовательных центров;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создание дворовых комплексов по оказанию социальных, бытовых, торговых услуг;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создание дворовых, детских и спортивных площадок;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малых форм хозяйствования на селе;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социальное предпринимательство;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деятельность в области народно-художественных промыслов, ремесленной деятельности, сельского и экологического туризма.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3: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I этап: 2014-2020 годы, II этап: 2021-2026 годы.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3. Обоснование выделения системы мероприятий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lastRenderedPageBreak/>
        <w:t>и краткое описание основных мероприятий подпрограммы 3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Достижение заявленной цели и решение поставленных задач подпро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 xml:space="preserve">граммы 3 будет осуществляться путем реализации основных мероприятий: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3.1. «Мероприятие по поддержке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нимательства в области ремесленной и выставочно – ярмарочной деятельности».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 3.2. «Возмещение части процентной ставки по </w:t>
      </w:r>
      <w:proofErr w:type="gramStart"/>
      <w:r w:rsidRPr="00954C0C">
        <w:rPr>
          <w:rFonts w:ascii="Arial" w:eastAsia="Times New Roman" w:hAnsi="Arial" w:cs="Arial"/>
          <w:sz w:val="20"/>
          <w:szCs w:val="20"/>
        </w:rPr>
        <w:t>долгосрочным,  среднесроч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ным</w:t>
      </w:r>
      <w:proofErr w:type="gramEnd"/>
      <w:r w:rsidRPr="00954C0C">
        <w:rPr>
          <w:rFonts w:ascii="Arial" w:eastAsia="Times New Roman" w:hAnsi="Arial" w:cs="Arial"/>
          <w:sz w:val="20"/>
          <w:szCs w:val="20"/>
        </w:rPr>
        <w:t xml:space="preserve"> и краткосрочным кредитам, взятым малыми формами хозяйствования».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3.3. «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Финансовая поддержка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Pr="00954C0C">
        <w:rPr>
          <w:rFonts w:ascii="Arial" w:eastAsia="Times New Roman" w:hAnsi="Arial" w:cs="Arial"/>
          <w:sz w:val="20"/>
          <w:szCs w:val="20"/>
        </w:rPr>
        <w:t>совершенствование инфраструктуры поддержки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, в том числе в рамках федерального проекта «Акселерация субъектов малого и среднего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Планируется реализация мероприятий по следующим направлениям поддержки малого и среднего предпринимательства: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28" w:hanging="21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области ремесленной и выставочно - ярмарочной деятельности: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3.1.1. «Организация выставочно - 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«круглых столов», конкурсах предпринимателей по различным номинациям».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3.1.2. «Проведение ежегодного городского конкурса «Губкинский предприниматель», приуроченного к празднованию Дня российского предпринимательства».</w:t>
      </w:r>
    </w:p>
    <w:p w:rsidR="00954C0C" w:rsidRPr="00954C0C" w:rsidRDefault="00954C0C" w:rsidP="00954C0C">
      <w:pPr>
        <w:tabs>
          <w:tab w:val="left" w:pos="1560"/>
          <w:tab w:val="left" w:pos="212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3.1.3. «Информационно-образовательная подготовка жителей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к ведению предпринимательской деятельности».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3.1.4. «Организация и проведение на территории Губкинского городского округа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областных совещаний по развитию сферы сельского хозяйства и заня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тых в нем ЛПХ и субъектов малого и среднего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3.1.5. «Организация мероприятий информационного характера в целях развития ТОР «Губкин» и привлечения новых резидентов»;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области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финансовой поддержки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, а также </w:t>
      </w:r>
      <w:r w:rsidRPr="00954C0C">
        <w:rPr>
          <w:rFonts w:ascii="Arial" w:eastAsia="Times New Roman" w:hAnsi="Arial" w:cs="Arial"/>
          <w:sz w:val="20"/>
          <w:szCs w:val="20"/>
        </w:rPr>
        <w:t>совершенствования инфраструктуры поддержки малого и среднего предпринимательства: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3.3.1.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лицами».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3.3.2. 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взнос)».</w:t>
      </w:r>
    </w:p>
    <w:p w:rsidR="00954C0C" w:rsidRPr="00954C0C" w:rsidRDefault="00954C0C" w:rsidP="00954C0C">
      <w:pPr>
        <w:tabs>
          <w:tab w:val="left" w:pos="1276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3.3.3. 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3.3.4. 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proofErr w:type="gramStart"/>
      <w:r w:rsidRPr="00954C0C">
        <w:rPr>
          <w:rFonts w:ascii="Arial" w:eastAsia="Times New Roman" w:hAnsi="Arial" w:cs="Arial"/>
          <w:sz w:val="20"/>
          <w:szCs w:val="20"/>
        </w:rPr>
        <w:t>развития</w:t>
      </w:r>
      <w:proofErr w:type="gramEnd"/>
      <w:r w:rsidRPr="00954C0C">
        <w:rPr>
          <w:rFonts w:ascii="Arial" w:eastAsia="Times New Roman" w:hAnsi="Arial" w:cs="Arial"/>
          <w:sz w:val="20"/>
          <w:szCs w:val="20"/>
        </w:rPr>
        <w:t xml:space="preserve"> либо модернизации производства товаров (работ, услуг)».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3.3.5. 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Система основных мероприятий и показателей подпрограммы 3 представлена в приложении № 1 к Программе.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нормативно-правовое обеспечение мероприятий по развитию и поддержке </w:t>
      </w:r>
      <w:r w:rsidRPr="00954C0C">
        <w:rPr>
          <w:rFonts w:ascii="Arial" w:eastAsia="Times New Roman" w:hAnsi="Arial" w:cs="Arial"/>
          <w:sz w:val="20"/>
          <w:szCs w:val="20"/>
        </w:rPr>
        <w:t>субъектов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малого и среднего предпринимательства, в частности </w:t>
      </w:r>
      <w:r w:rsidRPr="00954C0C">
        <w:rPr>
          <w:rFonts w:ascii="Arial" w:eastAsia="Times New Roman" w:hAnsi="Arial" w:cs="Arial"/>
          <w:sz w:val="20"/>
          <w:szCs w:val="20"/>
        </w:rPr>
        <w:t>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содействие ф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инансово-кредитной и имущественной поддержке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lastRenderedPageBreak/>
        <w:t>сопровождение предпринимателей, организующих бизнес в сельских территориях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</w:rPr>
        <w:t xml:space="preserve"> Белгородской области</w:t>
      </w: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, в частности по вопросам:</w:t>
      </w:r>
    </w:p>
    <w:p w:rsidR="00954C0C" w:rsidRPr="00954C0C" w:rsidRDefault="00954C0C" w:rsidP="00954C0C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а) аренды муниципальных инвестиционных площадок и земельных участков, находящихся в муниципальной собственности;</w:t>
      </w:r>
    </w:p>
    <w:p w:rsidR="00954C0C" w:rsidRPr="00954C0C" w:rsidRDefault="00954C0C" w:rsidP="00954C0C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б)  получения</w:t>
      </w:r>
      <w:proofErr w:type="gramEnd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финансовой поддержки;</w:t>
      </w:r>
    </w:p>
    <w:p w:rsidR="00954C0C" w:rsidRPr="00954C0C" w:rsidRDefault="00954C0C" w:rsidP="00954C0C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в)  подключения</w:t>
      </w:r>
      <w:proofErr w:type="gramEnd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 объектам инфраструктуры.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Кроме того, </w:t>
      </w: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>субъектам малого и среднего предпринимательства</w:t>
      </w: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в рамках Программы «500/10000» предоставляются муниципальные преференции в виде предоставления земельных участков, находящихся в собственности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</w:rPr>
        <w:t xml:space="preserve"> Белгородской области</w:t>
      </w: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и государственная собственность на которые не разграничена, без торгов с размером арендной платы 0,01 % от кадастровой стоимости земельного участка в год на период строительства</w:t>
      </w:r>
      <w:r w:rsidRPr="00954C0C">
        <w:rPr>
          <w:rFonts w:ascii="Arial" w:eastAsia="Times New Roman" w:hAnsi="Arial" w:cs="Arial"/>
          <w:sz w:val="20"/>
          <w:szCs w:val="20"/>
        </w:rPr>
        <w:t>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поддержка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субъектов малого и среднего предпринимательства в области инноваций и промышленного производства, что предусматривает </w:t>
      </w:r>
      <w:r w:rsidRPr="00954C0C">
        <w:rPr>
          <w:rFonts w:ascii="Arial" w:eastAsia="Times New Roman" w:hAnsi="Arial" w:cs="Arial"/>
          <w:sz w:val="20"/>
          <w:szCs w:val="20"/>
        </w:rPr>
        <w:t>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– 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</w:t>
      </w:r>
      <w:r w:rsidRPr="00954C0C">
        <w:rPr>
          <w:rFonts w:ascii="Arial" w:eastAsia="Times New Roman" w:hAnsi="Arial" w:cs="Arial"/>
          <w:sz w:val="20"/>
          <w:szCs w:val="20"/>
        </w:rPr>
        <w:t>организации работы межведомственного координационного совета при главе администрации Губкинского городского округа  по защите интересов субъектов малого и среднего предприниматель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 - экономическом развитии городского округа;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развитие кадрового потенциала в сфере малого и среднего предпринимательства – посредством создания условий для повышения профессиональных знаний специалистов, относящихся к социально незащищенным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–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–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14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Прогноз конечных результатов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450" w:right="-14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результате реализации подпрограммы 3 к 2026 году планируется дости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жение следующих конечных результатов** (приложение №1 к Программе):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увеличение годового оборота малых и средних предприятий, в том числе по годам: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2014 год – 12,27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2015 год – 12,83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2016 год – 17,28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2017 год – 18,13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2018 год – 19,02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2019 год – 19,78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2020 год – 20,40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2021 год – 21,40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2022 год – 22,80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2023 год – 23,90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2024 год – 25,00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2025 год – 26,10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2026 год – 27,30 млрд рублей;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достижение уровня доли занятых в малом и среднем бизнесе, включая ИП, в </w:t>
      </w:r>
      <w:r w:rsidRPr="00954C0C">
        <w:rPr>
          <w:rFonts w:ascii="Arial" w:eastAsia="Times New Roman" w:hAnsi="Arial" w:cs="Arial"/>
          <w:sz w:val="20"/>
          <w:szCs w:val="20"/>
        </w:rPr>
        <w:lastRenderedPageBreak/>
        <w:t>общей численности занятых к 2026 году 29,1%,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2014 год – 23,9%;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2015 год – 22,0%;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2016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2017 год – 29,5%;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2018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2019 год – 27,9%;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2020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28,2%;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28,6%;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2025 год – 28,8%;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2026 год – 29,1%.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Реализация подпрограммы 3 будет способствовать повышению роли мало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го и среднего предпринимательства в экономических процессах                      город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ско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го окру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га, улучшению отраслевой структуры малого и среднего              пред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при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нима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тельства и диверсификации экономики за счет развития                         производ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ствен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ных и инно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ва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ционных видов предпринимательской деятельности, росту занятости населения.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Предполагаемые объемы финансирования подпрограммы 3                                   на 2014-2026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2021-2026 годы реализации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3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тыс. рублей</w:t>
      </w:r>
    </w:p>
    <w:tbl>
      <w:tblPr>
        <w:tblW w:w="96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3"/>
        <w:gridCol w:w="992"/>
        <w:gridCol w:w="940"/>
        <w:gridCol w:w="905"/>
        <w:gridCol w:w="837"/>
        <w:gridCol w:w="851"/>
        <w:gridCol w:w="992"/>
        <w:gridCol w:w="1001"/>
        <w:gridCol w:w="992"/>
      </w:tblGrid>
      <w:tr w:rsidR="00954C0C" w:rsidRPr="00954C0C" w:rsidTr="00CA7706">
        <w:trPr>
          <w:jc w:val="center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Ресурсное обеспечение мероприятий</w:t>
            </w:r>
          </w:p>
        </w:tc>
      </w:tr>
      <w:tr w:rsidR="00954C0C" w:rsidRPr="00954C0C" w:rsidTr="00CA7706">
        <w:trPr>
          <w:jc w:val="center"/>
        </w:trPr>
        <w:tc>
          <w:tcPr>
            <w:tcW w:w="212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2014-2020 годы</w:t>
            </w:r>
          </w:p>
        </w:tc>
        <w:tc>
          <w:tcPr>
            <w:tcW w:w="6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954C0C" w:rsidRPr="00954C0C" w:rsidTr="00CA7706">
        <w:trPr>
          <w:trHeight w:val="646"/>
          <w:jc w:val="center"/>
        </w:trPr>
        <w:tc>
          <w:tcPr>
            <w:tcW w:w="2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332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85360,412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193" w:right="-73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3093,512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4355,5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9324,6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34905,4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15107,4</w:t>
            </w:r>
          </w:p>
        </w:tc>
      </w:tr>
      <w:tr w:rsidR="00954C0C" w:rsidRPr="00954C0C" w:rsidTr="00CA7706">
        <w:trPr>
          <w:trHeight w:val="379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60222,85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4050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27569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11670,2 </w:t>
            </w:r>
          </w:p>
        </w:tc>
      </w:tr>
      <w:tr w:rsidR="00954C0C" w:rsidRPr="00954C0C" w:rsidTr="00CA7706">
        <w:trPr>
          <w:trHeight w:val="329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7518,85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trHeight w:val="945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3175,112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14443,6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662,4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3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"/>
        <w:gridCol w:w="1450"/>
        <w:gridCol w:w="100"/>
        <w:gridCol w:w="1176"/>
        <w:gridCol w:w="100"/>
        <w:gridCol w:w="1034"/>
        <w:gridCol w:w="100"/>
        <w:gridCol w:w="1034"/>
        <w:gridCol w:w="100"/>
        <w:gridCol w:w="1175"/>
        <w:gridCol w:w="100"/>
        <w:gridCol w:w="1176"/>
        <w:gridCol w:w="100"/>
        <w:gridCol w:w="1067"/>
        <w:gridCol w:w="95"/>
        <w:gridCol w:w="886"/>
        <w:gridCol w:w="97"/>
      </w:tblGrid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82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Ресурсное обеспечение мероприятий</w:t>
            </w:r>
          </w:p>
        </w:tc>
      </w:tr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2021-2026 годы</w:t>
            </w:r>
          </w:p>
        </w:tc>
        <w:tc>
          <w:tcPr>
            <w:tcW w:w="6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gridAfter w:val="1"/>
          <w:wAfter w:w="97" w:type="dxa"/>
          <w:trHeight w:val="343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     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gridAfter w:val="1"/>
          <w:wAfter w:w="97" w:type="dxa"/>
          <w:trHeight w:val="455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           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бюджет Губкинского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по годам представлены в </w:t>
      </w:r>
      <w:proofErr w:type="gram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приложении  №</w:t>
      </w:r>
      <w:proofErr w:type="gramEnd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4 к Программе.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</w:t>
      </w:r>
      <w:proofErr w:type="spell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период.</w:t>
      </w:r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нача</w:t>
      </w:r>
      <w:proofErr w:type="spellEnd"/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  <w:proofErr w:type="spellStart"/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льника</w:t>
      </w:r>
      <w:proofErr w:type="spellEnd"/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 xml:space="preserve"> отдела инвестиций</w:t>
      </w: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Подпрограмма 4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«Улучшение условий и охраны труда в Губкинском 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городском округе Белгородской области»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395"/>
        <w:gridCol w:w="4677"/>
      </w:tblGrid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«Улучшение условий и охраны труда 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Губкинском  городском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округе Белгородской области»  (далее - подпрограмма 4)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 ответственный за подпрограмму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Снижение уровня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производ-ственного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Осуществление органами местного самоуправления полномочий в области охраны труда согласно действующему законодательству.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Объем бюджетных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Общий объем ресурсного обеспечения подпрограммы 4                     в 2024-2026 годах за счет всех источников финансирования составит 13,0 тыс. рублей, в том числе по годам: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2024 год – 4,2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2025 год – 4,3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2026 год – 4,5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Объем ресурсного обеспечения подпрограммы 4 за счет средств бюджета Губкинского городского округа Белгородской области составит 13,0 тыс. рублей, в том числе по годам: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2024 год – 4,2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2025 год – 4,3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2026 год – 4,5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Ресурсное обеспечение подпрограммы 4 за счет иных источников не предусмотрено.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Объемы финансирования мероприятий подпрограммы 4 ежегодно подлежат уточнению при формировании бюджета на очередной финансовый год и плановый период.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 Численность пострадавших в результате несчастных случаев на производстве со смертельным исходом в расчете на 1 тысячу работающих.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К концу 2026 года планируется: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 Снижение численности пострадавших в результате несчастных случаев на производстве с утратой трудоспособности на                  1 рабочий день и более и со смертельным исходом в расчете                           на 1 тысячу работающих до 1,059 единиц.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2. Сокращение численности пострадавших в результате несчастных случаев на производстве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со смертельным исходом в расчете на 1 тысячу работающих                                    до 0,118 единиц 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highlight w:val="yellow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1. Характеристика сферы реализации подпрограммы 4, описание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деятельности.</w:t>
      </w:r>
    </w:p>
    <w:p w:rsidR="00954C0C" w:rsidRPr="00954C0C" w:rsidRDefault="00954C0C" w:rsidP="00954C0C">
      <w:pPr>
        <w:spacing w:after="0" w:line="236" w:lineRule="auto"/>
        <w:ind w:right="2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2" w:name="page32"/>
      <w:bookmarkEnd w:id="2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hyperlink r:id="rId42" w:history="1">
        <w:r w:rsidRPr="00954C0C">
          <w:rPr>
            <w:rFonts w:ascii="Arial" w:eastAsia="Times New Roman" w:hAnsi="Arial" w:cs="Arial"/>
            <w:sz w:val="20"/>
            <w:szCs w:val="20"/>
            <w:lang w:eastAsia="ru-RU"/>
          </w:rPr>
          <w:t xml:space="preserve">пунктом 3 статьи 37 </w:t>
        </w:r>
      </w:hyperlink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Конституции Российской Федерации каждый гражданин России имеет право на труд в условиях, отвечающих требованиям безопасности и гигиены.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8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7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8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5" w:lineRule="auto"/>
        <w:ind w:right="2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Данные мониторинга численности пострадавших с утратой трудоспособности на один рабочий день и более на 1 тысячу работающих составил (коэффициент частоты травматизма):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238" w:lineRule="auto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2020 году – 1,059 (пострадавших);</w:t>
      </w:r>
    </w:p>
    <w:p w:rsidR="00954C0C" w:rsidRPr="00954C0C" w:rsidRDefault="00954C0C" w:rsidP="00954C0C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" w:lineRule="exact"/>
        <w:ind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0" w:lineRule="atLeast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2021 году – 1,134 (пострадавших);</w:t>
      </w: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238" w:lineRule="auto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2022 году – 1,179 (пострадавших);</w:t>
      </w:r>
    </w:p>
    <w:p w:rsidR="00954C0C" w:rsidRPr="00954C0C" w:rsidRDefault="00954C0C" w:rsidP="00954C0C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" w:lineRule="exact"/>
        <w:ind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shd w:val="clear" w:color="auto" w:fill="FFFFFF"/>
        <w:tabs>
          <w:tab w:val="left" w:pos="1100"/>
        </w:tabs>
        <w:autoSpaceDE w:val="0"/>
        <w:autoSpaceDN w:val="0"/>
        <w:adjustRightInd w:val="0"/>
        <w:spacing w:after="0" w:line="0" w:lineRule="atLeast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2023 году (оценочно) – 1,109 (пострадавших).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932"/>
        </w:tabs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 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</w:p>
    <w:p w:rsidR="00954C0C" w:rsidRPr="00954C0C" w:rsidRDefault="00954C0C" w:rsidP="00954C0C">
      <w:pPr>
        <w:widowControl w:val="0"/>
        <w:tabs>
          <w:tab w:val="left" w:pos="932"/>
        </w:tabs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Анализ причин производственного травматизма свидетельствует о недостаточном внимании работодателей к реконструкции и модернизации производства, соблюдению сроков проведения ремонта и замены устаревшего оборудования. Наряду с техническими причинами несчастных случаев на производстве, устранение которых требует значительных инвестиционных и материально-технических затрат, около половины несчастных случаев связаны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c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организацией труда - это неудовлетворительное обеспечение безопасности производства работ и рабочих мест, допуск к работе работников, не прошедших обучение и проверку знаний требований охраны труда, нарушение трудовой и производственной дисциплины. Во многих случаях неудовлетворительная</w:t>
      </w:r>
      <w:bookmarkStart w:id="3" w:name="page33"/>
      <w:bookmarkEnd w:id="3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организация труда и производства является следствием отсутствия в организациях современных систем управления охраной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Неудовлетворительное состояние условий труда, длительное воздействие вредных производственных факторов на организм работающих является основной причиной формирования у работников профессиональной патологии. В Губкинском городском округе Белгородской области согласно статистическим данным в 2019-2022 годах был зарегистрирован 81 случай.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</w:t>
      </w: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Профессиональная заболеваемость в 2019-2023 годах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на территории Губкинского городского округа Белгородской области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6"/>
        <w:gridCol w:w="1276"/>
        <w:gridCol w:w="1275"/>
      </w:tblGrid>
      <w:tr w:rsidR="00954C0C" w:rsidRPr="00954C0C" w:rsidTr="00CA7706">
        <w:trPr>
          <w:trHeight w:val="618"/>
        </w:trPr>
        <w:tc>
          <w:tcPr>
            <w:tcW w:w="326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2023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(оценка)</w:t>
            </w:r>
          </w:p>
        </w:tc>
      </w:tr>
      <w:tr w:rsidR="00954C0C" w:rsidRPr="00954C0C" w:rsidTr="00CA7706">
        <w:trPr>
          <w:trHeight w:val="749"/>
        </w:trPr>
        <w:tc>
          <w:tcPr>
            <w:tcW w:w="326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Количество работников с профессиональными заболеваниями, чел.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tabs>
                <w:tab w:val="left" w:pos="269"/>
                <w:tab w:val="center" w:pos="426"/>
              </w:tabs>
              <w:autoSpaceDE w:val="0"/>
              <w:autoSpaceDN w:val="0"/>
              <w:adjustRightInd w:val="0"/>
              <w:spacing w:after="0" w:line="240" w:lineRule="auto"/>
              <w:ind w:firstLine="137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9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27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Анализ профессиональной заболеваемости, зарегистрированной на территории Губкинского городского округа в 2019-2022 годах, показал, что профессиональные заболевания зафиксированы в 4 </w:t>
      </w:r>
      <w:proofErr w:type="gramStart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организациях:   </w:t>
      </w:r>
      <w:proofErr w:type="gramEnd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                          АО «Лебединский ГОК», АО «Комбинат 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КМАруда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»,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Рудстрой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»,             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КМАрудоремонт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». Большинство профессиональных заболеваний зафиксировано в АО «Лебединский ГОК» - 61 (76% от общего количества</w:t>
      </w:r>
      <w:proofErr w:type="gramStart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),   </w:t>
      </w:r>
      <w:proofErr w:type="gramEnd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              в АО «Комбинат 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КМАруда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- 18 случаев (22%),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Рудстрой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 (1%),                   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КМАрудоремонт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 (1%).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4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6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8" w:lineRule="auto"/>
        <w:ind w:left="10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Сформированная областная система государственного управления охраной труда предоставила возможность министерству социальной защиты населения и труда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 области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, органам местного самоуправления муниципальных образований решать основные задачи по улучшению условий и повышению безопасности труда - обеспечению охраны труда на всех уровнях. В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этой связи подпрограмма 4, являясь инструментом реализации государственной политики в области охраны труда на муниципальном уровне, позволяет планомерно проводить работу в области обеспечения охраны труда, предусматривать необходимые материальные и организационные ресурсы для реализации приоритетных мероприятий, направленных на достижение главной цели.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7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6" w:lineRule="auto"/>
        <w:ind w:left="10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подпрограммы 4 организована путем выстраивания эффективных партнерских отношений с основными участниками системы управления охраной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Приоритетами государственной политики в сфере реализации подпрограммы 4 является улучшение условий и охраны труда работников организаций, расположенных на территории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Целью подпрограммы 4 является снижение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Для достижения поставленной цели необходимо решение следующей задачи: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- осуществление органами местного самоуправления полномочий в области охраны труда согласно действующему законодательству.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Реализация задачи осуществляется согласно </w:t>
      </w:r>
      <w:hyperlink r:id="rId43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закону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Белгородской области от 28 июня 2010 года № 349 «О наделении органов местного самоуправления полномочиями в области охраны труда».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Срок реализации подпрограммы 4 - 2024-2026 годы.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мероприятий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Мероприятия подпрограммы 4 сформированы исходя из законодательных требований, опыта реализации полномочий в области охраны труда в Губкинском городском округе Белгородской области. При разработке мероприятий учитывался опыт других муниципальных образований Белгородской области по реализации аналогичных подпрограмм.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Особенностью подпрограммы 4 является организационно-методическая и координирующая направленность мероприятий. Это обусловлено спецификой государственного управления в области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Для решения задачи 4 «Осуществление органами местного самоуправления полномочий в области охраны труда согласно действующему законодательству» необходима реализация следующих основных мероприятий: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4.1. 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Координационных советов по охране труда;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совещаний по вопросам улучшения условий и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4.2. Организация и проведение конкурсов по вопросам охраны труда среди работодателей Губкинского городского округа Белгородской области, Дня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конкурсов по вопросам охраны труда среди работодателей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Дня охраны труда для работодателей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4.3. 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размещение в средствах массовой информации, на официальном сайте органов местного самоуправления информации о состоянии охраны труда в Губкинском городском округе Белгородской области, об изменениях в трудовом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Муниципальной программой не предусмотрено финансирование основных мероприятий 4.1 и 4.3.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Система основных мероприятий подпрограммы 4 представлена в </w:t>
      </w:r>
      <w:hyperlink w:anchor="P2390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приложении 1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к муниципальной программе.</w:t>
      </w:r>
    </w:p>
    <w:p w:rsidR="00954C0C" w:rsidRPr="00954C0C" w:rsidRDefault="00954C0C" w:rsidP="00954C0C">
      <w:pPr>
        <w:widowControl w:val="0"/>
        <w:tabs>
          <w:tab w:val="left" w:pos="387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ab/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В результате реализации подпрограммы 4 к концу 2026 года планируется достижение следующих показателей конечного результата в сравнении: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Сведения о динамике показателей конечного результата подпрограммы 4 представлены в </w:t>
      </w:r>
      <w:hyperlink w:anchor="P2390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приложении 1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к муниципальной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Общий объем финансирования подпрограммы 4 за 2024-2026 годы составит 13,0 тысяч рублей. Объемы и источники финансирования по годам реализации представлены в таблице 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Реализация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115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тыс. рублей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849"/>
        <w:gridCol w:w="1417"/>
        <w:gridCol w:w="1418"/>
        <w:gridCol w:w="1417"/>
      </w:tblGrid>
      <w:tr w:rsidR="00954C0C" w:rsidRPr="00954C0C" w:rsidTr="00CA7706">
        <w:tc>
          <w:tcPr>
            <w:tcW w:w="374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849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 весь период реализации подпрограммы 4</w:t>
            </w:r>
          </w:p>
        </w:tc>
        <w:tc>
          <w:tcPr>
            <w:tcW w:w="4252" w:type="dxa"/>
            <w:gridSpan w:val="3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c>
          <w:tcPr>
            <w:tcW w:w="374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c>
          <w:tcPr>
            <w:tcW w:w="374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c>
          <w:tcPr>
            <w:tcW w:w="374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Губкинского городского округа Белгородской области</w:t>
            </w:r>
          </w:p>
        </w:tc>
        <w:tc>
          <w:tcPr>
            <w:tcW w:w="184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</w:tbl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ind w:right="115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Н</w:t>
      </w: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sectPr w:rsidR="00954C0C" w:rsidRPr="00954C0C" w:rsidSect="00954C0C">
          <w:headerReference w:type="even" r:id="rId44"/>
          <w:headerReference w:type="default" r:id="rId45"/>
          <w:headerReference w:type="first" r:id="rId46"/>
          <w:pgSz w:w="11909" w:h="16834"/>
          <w:pgMar w:top="1134" w:right="567" w:bottom="1134" w:left="1588" w:header="720" w:footer="720" w:gutter="0"/>
          <w:cols w:space="60"/>
          <w:noEndnote/>
          <w:titlePg/>
          <w:docGrid w:linePitch="272"/>
        </w:sect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lastRenderedPageBreak/>
        <w:t>Приложение № 1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172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Система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172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основных мероприятий (мероприятий) и показателей муниципальной программы 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  <w:lang w:val="en-US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 </w:t>
      </w: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  <w:lang w:val="en-US"/>
        </w:rPr>
      </w:pPr>
    </w:p>
    <w:tbl>
      <w:tblPr>
        <w:tblW w:w="15735" w:type="dxa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 w:rsidR="00954C0C" w:rsidRPr="00954C0C" w:rsidTr="00CA7706">
        <w:trPr>
          <w:trHeight w:val="451"/>
          <w:tblHeader/>
          <w:tblCellSpacing w:w="5" w:type="nil"/>
        </w:trPr>
        <w:tc>
          <w:tcPr>
            <w:tcW w:w="99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9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9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954C0C" w:rsidRPr="00954C0C" w:rsidTr="00CA7706">
        <w:trPr>
          <w:trHeight w:val="357"/>
          <w:tblHeader/>
          <w:tblCellSpacing w:w="5" w:type="nil"/>
        </w:trPr>
        <w:tc>
          <w:tcPr>
            <w:tcW w:w="99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2012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базо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-вый</w:t>
            </w:r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2013 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(оцен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ка)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2016 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2018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2020 (итог)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735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 w:rsidR="00954C0C" w:rsidRPr="00954C0C" w:rsidTr="00CA7706">
        <w:trPr>
          <w:trHeight w:val="362"/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13</w:t>
            </w:r>
          </w:p>
        </w:tc>
      </w:tr>
      <w:tr w:rsidR="00954C0C" w:rsidRPr="00954C0C" w:rsidTr="00CA7706">
        <w:trPr>
          <w:trHeight w:val="632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Муниципальная программа «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Развитие экономи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 xml:space="preserve">ческого потенциала </w:t>
            </w:r>
            <w:proofErr w:type="gramStart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  форми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вание</w:t>
            </w:r>
            <w:proofErr w:type="gramEnd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благоприят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ного предпринима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ского климата в Губкинском город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ском округе Белгородской области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управления потребительского рынка, бытовых услуг и защиты прав потребителей,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1.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9360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2.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Обеспе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ность торговыми пло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691,6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3.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Доля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тых в малом                   и среднем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биз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се,   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           вклю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чая ИП, в                     об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щей численности заня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1 «</w:t>
            </w:r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Развитие 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общест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</w:t>
            </w:r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питания на территории             Губкинского городского округа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40" w:line="240" w:lineRule="auto"/>
              <w:ind w:left="67" w:hanging="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lastRenderedPageBreak/>
              <w:t>Объем товарообо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lastRenderedPageBreak/>
              <w:t>рота общественного пита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ния, млн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407,8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467,7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513,8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 Оборот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питания на ду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шу населения,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4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1.3. Количество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9360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1.4. Обеспеченность            насе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ления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местами в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тиях общественного питания на 1 тысячу жителей, ед.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14742" w:type="dxa"/>
            <w:gridSpan w:val="12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1.1.1. Количество обучен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специа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лис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1.1.2. Количество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форму обслужи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вания          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кей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теринг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(нарастающим итогом),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1.2. «Мероприятия, направленные на повышение уровня профессионального мастерства»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участие, чел.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1.2.2. Количество предприятий,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новые методы обработки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продукции и новые блюда,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ед. (нарастающим итогом)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Подпрограмма 2 «Развитие торговли на территории Губкинского городского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Администрация Губкинского городского округа (в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 Объем розничного товарооборота, млрд рублей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округа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2.2. Объем розничного товарооборота на душу населения, тыс. рублей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108,8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131,6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207,9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2.3. Торговая площадь,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67,3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72,6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83,0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2.4. Обеспеченность тор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говыми площадями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жителей,  кв.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641,7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680,0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691,6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2.1.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 Количество обучаемых специалистов торговых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внедривших новые технологии, формы и методы торговли (нарастаю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щим итогом),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Lines="60" w:after="144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2.2.1.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принявших участие в конкурсе,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Lines="60" w:after="144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2.2.2. Количество предприятий,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которые  расширили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и совершенствовали дополнитель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ные услуги (организа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 работы отделов кулинарии, доставка товаров на дом, сборка и установ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ка крупно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габаритных товаров на дому, установ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ка сложнобытовой и компьютерной техни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ки, продажа товаров в рассрочку, заказ това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ров по каталогам), нарастающим итогом,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рамма 3 «Развитие и поддер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ж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ло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и сред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пред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ства в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ском городс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управления сельского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6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 Оборот малых и средних предприятий в действующих ценах, млрд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 Доля занятых в 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лом и среднем бизнесе, включая ИП, в общей числен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 занятых,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</w:t>
            </w:r>
          </w:p>
        </w:tc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3. Обеспече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 благоприятных условий для раз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вития и комп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лекс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ной поддер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жки субъектов 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мательства в це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лях повы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его вклада в со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но-эконо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мическое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Губ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кинского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 «Мероприятие по поддержке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области ремесленной и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и 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политики,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3.1.1. Количество действу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ю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щих субъектов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го предприни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ства на конец года,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2699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 «Организация выставочно-ярмарочной деятельности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ства, орга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заседаниях круглых столов, конкурсах предпринимателей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участ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вовав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в выста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сти,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ниях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круглых  сто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конкурсах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 по различным 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циям,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 «Проведение ежегодного городского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3.1.2.1. Количество организованных меро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по праздно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4.1.1.3.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 «Информационно-обра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предпринимательской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3.1.3.1.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участие,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3.1.4.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«Организация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  прове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на террито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рии Губкинско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областных совещаний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тов малого и среднего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ства на территории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 «Организация мероприятий информационного характера в целях развития ТОР «Губкин» и привлечения новых резидентов»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3.1.5.1. Количество зарегистрированных резидентов ТОР «Губкин»,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 «Возмещение части процентной 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по долгосрочным, средне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и крат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креди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там, взятым малыми формами хозяйство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3.2.1. Количество про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суб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дированных кредитов КФХ и ЛПХ,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1243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 «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держ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ствование инфраструктуры поддержки малого и среднего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тельства 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ском городском округе Белгородской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3.3.1. Доля оборота малых и средних предприятий в общем обороте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и организаций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округа, %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3.3.2.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получивших поддержку,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 «Предоставление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3.3.1.1. Предельные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ды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бюджета 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га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по исполнению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обяза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 в связи с нас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туп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лением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го случая,             тыс. руб. (не более указанной суммы в год)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3.3.2.1. Количество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4.1.3.3.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3.3.3.1.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социального предпринимательства -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3.3.5.1.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781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15735" w:type="dxa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trHeight w:val="451"/>
          <w:tblHeader/>
          <w:tblCellSpacing w:w="5" w:type="nil"/>
        </w:trPr>
        <w:tc>
          <w:tcPr>
            <w:tcW w:w="1135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976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6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954C0C" w:rsidRPr="00954C0C" w:rsidTr="00CA7706">
        <w:trPr>
          <w:trHeight w:val="357"/>
          <w:tblHeader/>
          <w:tblCellSpacing w:w="5" w:type="nil"/>
        </w:trPr>
        <w:tc>
          <w:tcPr>
            <w:tcW w:w="1135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2021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2026 </w:t>
            </w:r>
          </w:p>
        </w:tc>
      </w:tr>
    </w:tbl>
    <w:p w:rsidR="00954C0C" w:rsidRPr="00954C0C" w:rsidRDefault="00954C0C" w:rsidP="00954C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15735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trHeight w:val="56"/>
          <w:tblHeader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632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Муниципальная программа «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Развитие </w:t>
            </w:r>
            <w:proofErr w:type="gramStart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экономи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ческого  потен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циала</w:t>
            </w:r>
            <w:proofErr w:type="gramEnd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форми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вание благоприят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ного предпринима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ского климата в Губкинском город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ском округе Белгородской области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                 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управления потребительского рынка, бытовых услуг и защиты прав потребителей, 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1.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9200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2.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Обеспе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ность торговыми пло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3.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Доля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малом и среднем биз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се, вклю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чая ИП, в об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щей численности заня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</w:t>
            </w:r>
            <w:proofErr w:type="spellStart"/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случа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ев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производстве с утратой трудоспособности на 1 рабочий день и более и со смертельным исходом в расчете на 1 тысячу работающих,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1,059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1 «Развитие общест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 питания на территории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ского городского окру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 xml:space="preserve">Объем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товаро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обо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 xml:space="preserve">та общественного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пи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та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ния, 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990,5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 Оборот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питания на ду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шу населения,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1.3.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Количество 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9200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1.4. Обеспеченность насе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ления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местами в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тиях общественного питания на 1 тысячу жителей, 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82,0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1.1.1. Количество обучен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специа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лис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1.1.2. Количество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форму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обслужи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вания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кей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теринг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(нарастающим итогом),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1.2. «Мероприятия, направленные на повышение уровня профессионального мастерства»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участие,  чел.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1.2.2. Количество предприятий,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новые методы обработки продукции и новые блюда, ед. (нарастающим итогом)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Подпрограмма 2 «Развитие торговли на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территории Губкинского городского округа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2.1. Объем розничного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товарооборота,  млрд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 Объем розничного товарооборота на душу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населения,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343,6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2.3. Торговая площадь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,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тыс.кв.м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2.4. Обеспеченность торговыми площадями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жителей,  кв.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2.1.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 Количество обучаемых специалистов торговых предприятий,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внедривших новые технологии, формы и методы торговли (нарастающим итогом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),  ед.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  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2.2.1. Количество предприятий, принявших участие 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конкурсе,  ед.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2.2.2. Количество предприятий,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которые  расширили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сложнобытовой и компьютерной техники, продажа товаров в рассрочку, заказ товаров по каталогам), нарастающим итогом, 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3 «Развитие и поддержка субъектов малого и среднего предприни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мательства в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ском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           городского округа (в лице управления экономики и ценовой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3.1. Оборот малых и средних предприятий в действующих ценах, млрд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3.2. Доля занятых в малом и среднем бизнесе, включая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ИП,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общей численности занятых,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3.1. «Мероприятие по поддержке субъектов малого и среднего предпринимательства в области ремесленной и выставочно-ярмарочной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           экономи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и и           ценовой политики, управления              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2675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 «Организация выставочно-ярмарочной деятельности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ства, орга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заседаниях круглых столов, конкурсах предпринимателей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чество субъектов малого и среднего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участ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вовав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в выста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вочно -  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сти,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ниях круглых сто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лов,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 по различным 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циям,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 «Проведение ежегодного городского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3.1.2.1. Количество организованных меро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по праздно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ского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 «Информационно-обра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тельная подготовка жителей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городского округа Белгородской области к ведению предпринимательской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3.1.3.1.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участие,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3.1.4.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«Организация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  прове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на террито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рии Губкинско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областных совещаний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на территории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 «Организация мероприятий информационного характера в целях развития ТОР «Губкин» и привлечения новых резидентов»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3.1.5.1. Количество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зарегстрированных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резидентов ТОР Губкин»,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 «Возмещение части процентной 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по долгосрочным, средне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и крат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креди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там, взятым малыми формами хозяйство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3.2.1. Количество просубсидированных кредитов КФХ и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 «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держ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ствование инфраструктуры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поддержки малого и среднего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 в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ском городском округе Белгородской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3.3.1. Доля оборота малых и средних предприятий в общем обороте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и организаций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округа,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3.3.2.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предпринимательства, получивших поддержку,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 «Предоставление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3.3.1.1. Предельные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ды бюджета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га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по исполнению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обяза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 в связи с нас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туп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лением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случая, тыс. руб. (не более указанной суммы в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(аванса) при заключении договора лизинга оборудования, выплатами по передаче прав на франшизу (паушальный взнос)»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3.3.2.1. Количество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3.3.3.1.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социального предпринимательства -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3.3.5.1.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5.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 «Улучшение условий и охраны труда в Губкинском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работаю-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щих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1,059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0,118</w:t>
            </w:r>
          </w:p>
        </w:tc>
      </w:tr>
      <w:tr w:rsidR="00954C0C" w:rsidRPr="00954C0C" w:rsidTr="00CA7706">
        <w:trPr>
          <w:trHeight w:val="349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Координационных советов, совещаний по вопросам улучшения условий и охраны труда в целях обмена опытом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работы по обеспечению здоровых и безопасных условий труда»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Координационных советов, совещаний по вопросам улучшения условий и охраны труда,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конкурсов по вопросам охраны труда среди работодателей Губкинского городского округа Белгородской области, Дня охраны труда»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конкурсов по вопросам охраны труда среди работодателей Губкинского городского округа, Дня охраны труда,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«Информирование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публикаций, размещенных в средствах массовой информации, о состоянии условий и охраны труда в организациях Губкинского городского округа, об изменениях в трудовом законодательстве,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</w:pPr>
      <w:proofErr w:type="gramStart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.о.</w:t>
      </w:r>
      <w:proofErr w:type="gramEnd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 xml:space="preserve"> начальника отдела инвестиций</w:t>
      </w: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  <w:sectPr w:rsidR="00954C0C" w:rsidRPr="00954C0C" w:rsidSect="000B695C">
          <w:headerReference w:type="default" r:id="rId47"/>
          <w:pgSz w:w="16838" w:h="11906" w:orient="landscape" w:code="9"/>
          <w:pgMar w:top="1701" w:right="567" w:bottom="567" w:left="1701" w:header="709" w:footer="709" w:gutter="0"/>
          <w:cols w:space="708"/>
          <w:docGrid w:linePitch="360"/>
        </w:sect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и развития малого бизнеса                                                                                                                    О.В. Литвинова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lastRenderedPageBreak/>
        <w:t>Приложение № 2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     к муниципальной программе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245" w:hanging="283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   «Развитие экономического потенциала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529" w:hanging="1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и формирование </w:t>
      </w:r>
      <w:proofErr w:type="gramStart"/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благоприятного  предпринимательского</w:t>
      </w:r>
      <w:proofErr w:type="gramEnd"/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климата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6096" w:hanging="567"/>
        <w:outlineLvl w:val="0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в Губкинском городском округе              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Основные меры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правового регулирования в сфере реализации муниципальной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693"/>
        <w:gridCol w:w="2410"/>
        <w:gridCol w:w="1984"/>
      </w:tblGrid>
      <w:tr w:rsidR="00954C0C" w:rsidRPr="00954C0C" w:rsidTr="00CA7706">
        <w:trPr>
          <w:trHeight w:val="60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Вид муници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паль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 право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вого акта</w:t>
            </w:r>
          </w:p>
        </w:tc>
        <w:tc>
          <w:tcPr>
            <w:tcW w:w="26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Основные положения муниципального правового акта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и  соисполнители</w:t>
            </w:r>
          </w:p>
        </w:tc>
        <w:tc>
          <w:tcPr>
            <w:tcW w:w="198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Ожидаемые сроки принятия</w:t>
            </w:r>
          </w:p>
        </w:tc>
      </w:tr>
    </w:tbl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721"/>
        <w:gridCol w:w="2410"/>
        <w:gridCol w:w="1956"/>
      </w:tblGrid>
      <w:tr w:rsidR="00954C0C" w:rsidRPr="00954C0C" w:rsidTr="00CA7706">
        <w:trPr>
          <w:tblCellSpacing w:w="5" w:type="nil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Муниципальная программа 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Подпрограмма 1 «Развитие общественного питания на территории Губкинского городского округа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«Об утверждении положения о проведении конкурса профессиональ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ного мастерства»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2014-2026 годы (по мере необ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Подпрограмма 2 «Развитие торговли на территории Губкинского городского округа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«О проведении конкурса на лучшее предприятие торговли»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2014-2026 годы (по мере необ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54C0C" w:rsidRPr="00954C0C" w:rsidTr="00CA7706">
        <w:trPr>
          <w:tblCellSpacing w:w="5" w:type="nil"/>
        </w:trPr>
        <w:tc>
          <w:tcPr>
            <w:tcW w:w="97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Подпрограмма 4 «Улучшение условий и охраны труда в Губкинском городском округе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внесении изменений в постановление администрации Губкинского городского округа от 21 августа 2015 года № 1682-па «</w:t>
            </w: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 координационном совете по охране труда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 (по мере необходимости)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 августа 2022 года № 967-па «Об утверждении Положения о проведении Дня охраны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труда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Губкинском городском округе Белгородской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 (по мере необходимости)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Постановление администрации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 проведении конкурсов по вопросам охраны труда в Губкинском городском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(по мере необходимости)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</w:pPr>
      <w:proofErr w:type="spellStart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ника</w:t>
      </w:r>
      <w:proofErr w:type="spellEnd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 xml:space="preserve"> отдела инвестиций</w:t>
      </w:r>
    </w:p>
    <w:p w:rsidR="00954C0C" w:rsidRDefault="00954C0C" w:rsidP="00954C0C">
      <w:pPr>
        <w:tabs>
          <w:tab w:val="left" w:pos="5040"/>
        </w:tabs>
        <w:spacing w:after="0" w:line="240" w:lineRule="auto"/>
        <w:ind w:right="-598"/>
        <w:rPr>
          <w:rFonts w:ascii="Arial" w:eastAsia="Times New Roman" w:hAnsi="Arial" w:cs="Arial"/>
          <w:b/>
          <w:color w:val="FFFFFF"/>
          <w:sz w:val="20"/>
          <w:szCs w:val="20"/>
        </w:rPr>
        <w:sectPr w:rsidR="00954C0C" w:rsidSect="00954C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right="-598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lastRenderedPageBreak/>
        <w:t xml:space="preserve">                                                         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  Приложение № 3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    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Развитие экономического потенциала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и формирование благоприятного                                  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предпринимательского климата в Губкинском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»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Ресурсное обеспечение и прогнозная (справочная) оценка</w:t>
      </w: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Губкинском городском округе </w:t>
      </w:r>
      <w:proofErr w:type="spellStart"/>
      <w:r w:rsidRPr="00954C0C">
        <w:rPr>
          <w:rFonts w:ascii="Arial" w:eastAsia="Times New Roman" w:hAnsi="Arial" w:cs="Arial"/>
          <w:b/>
          <w:sz w:val="20"/>
          <w:szCs w:val="20"/>
        </w:rPr>
        <w:t>Белгороджской</w:t>
      </w:r>
      <w:proofErr w:type="spellEnd"/>
      <w:r w:rsidRPr="00954C0C">
        <w:rPr>
          <w:rFonts w:ascii="Arial" w:eastAsia="Times New Roman" w:hAnsi="Arial" w:cs="Arial"/>
          <w:b/>
          <w:sz w:val="20"/>
          <w:szCs w:val="20"/>
        </w:rPr>
        <w:t xml:space="preserve"> области» </w:t>
      </w: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из различных источников финансирования</w:t>
      </w:r>
    </w:p>
    <w:p w:rsidR="00954C0C" w:rsidRPr="00954C0C" w:rsidRDefault="00954C0C" w:rsidP="00954C0C">
      <w:pPr>
        <w:spacing w:after="120" w:line="240" w:lineRule="auto"/>
        <w:ind w:right="-598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22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 w:rsidR="00954C0C" w:rsidRPr="00954C0C" w:rsidTr="00CA7706">
        <w:trPr>
          <w:trHeight w:val="421"/>
          <w:tblHeader/>
        </w:trPr>
        <w:tc>
          <w:tcPr>
            <w:tcW w:w="1761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Наименование муниципальной программы, подпрограммы муниципальной </w:t>
            </w:r>
            <w:proofErr w:type="gramStart"/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программы,   </w:t>
            </w:r>
            <w:proofErr w:type="gramEnd"/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     основного мероприятия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Оценка расходов (тыс. рублей), годы</w:t>
            </w:r>
          </w:p>
        </w:tc>
      </w:tr>
      <w:tr w:rsidR="00954C0C" w:rsidRPr="00954C0C" w:rsidTr="00CA7706">
        <w:trPr>
          <w:trHeight w:val="242"/>
          <w:tblHeader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22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 w:rsidR="00954C0C" w:rsidRPr="00954C0C" w:rsidTr="00CA7706">
        <w:trPr>
          <w:trHeight w:val="242"/>
          <w:tblHeader/>
        </w:trPr>
        <w:tc>
          <w:tcPr>
            <w:tcW w:w="1761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ind w:right="-5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мательского климата в Губкинском городском округе Белгородской области 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ind w:right="-56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3143,512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4455,5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1241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17433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9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384,6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34961,4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15163,4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ind w:left="-30" w:right="-56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522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1699,9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ind w:left="-1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3412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6870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  <w:tr w:rsidR="00954C0C" w:rsidRPr="00954C0C" w:rsidTr="00CA7706">
        <w:trPr>
          <w:cantSplit/>
          <w:trHeight w:val="31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9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2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61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Профессиональная подготовка,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395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2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32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142"/>
        </w:trPr>
        <w:tc>
          <w:tcPr>
            <w:tcW w:w="1761" w:type="dxa"/>
            <w:tcBorders>
              <w:top w:val="nil"/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ind w:left="-30" w:right="-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3093,512</w:t>
            </w:r>
          </w:p>
        </w:tc>
        <w:tc>
          <w:tcPr>
            <w:tcW w:w="850" w:type="dxa"/>
            <w:vAlign w:val="center"/>
          </w:tcPr>
          <w:p w:rsidR="00954C0C" w:rsidRPr="00954C0C" w:rsidRDefault="00954C0C" w:rsidP="00954C0C">
            <w:pPr>
              <w:spacing w:after="0" w:line="240" w:lineRule="auto"/>
              <w:ind w:right="-171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4355,5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1141</w:t>
            </w:r>
          </w:p>
        </w:tc>
        <w:tc>
          <w:tcPr>
            <w:tcW w:w="708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17433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9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324,6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34905,4</w:t>
            </w:r>
          </w:p>
        </w:tc>
        <w:tc>
          <w:tcPr>
            <w:tcW w:w="992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15107,4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46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1643,9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324,0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ind w:left="-1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3412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6870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4294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993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459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92,5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324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72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108,75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23,5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387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296,25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86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3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Финансовая поддержка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предпринимательства, а так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же совершенствование инфра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струк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туры поддержки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 в Губкин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ском городском округе Белгородской области 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16923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8868,6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34676,7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15058,4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411,2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1507,7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3340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1637,6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1146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6483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6157,4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27500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cantSplit/>
          <w:trHeight w:val="316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70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</w:tbl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369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cantSplit/>
          <w:trHeight w:val="70"/>
        </w:trPr>
        <w:tc>
          <w:tcPr>
            <w:tcW w:w="1761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252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Оценка расходов (тыс. рублей),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954C0C" w:rsidRPr="00954C0C" w:rsidTr="00CA7706">
        <w:trPr>
          <w:cantSplit/>
          <w:trHeight w:val="397"/>
        </w:trPr>
        <w:tc>
          <w:tcPr>
            <w:tcW w:w="1761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69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cantSplit/>
          <w:trHeight w:val="261"/>
          <w:tblHeader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мательского климата в Губкинском городском округе Белгородской области 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143,7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144,5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областной бюджет 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31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9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2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61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Мероприятия,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направленные на повышение уровня профессионального мастерства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2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торговли на территории Губкинского городского округа Белгородской области 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Белгородской области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Развитие и поддержка малого и среднего предпринимательства в Губкинском городском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округе Белгородской области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          ярмарочной деятельности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317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Финансовая поддержка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предпринимательства, а так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же совершенствование инфра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струк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туры поддержки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него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предпринимательства в Губкин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ском городском округе Белгородской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40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31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7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81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71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7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Улучшение условий и охраны труда в Губкинском городском округе Белгородской области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40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187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9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23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40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86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8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08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3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Организация и проведение конкурсов по вопросам охраны труда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среди работодателей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Дня охраны труда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55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15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5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72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7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08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об изменениях в трудовом законодательстве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510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3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93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28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46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</w:tbl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Приложение № 4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Развитие экономического потенциала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                                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»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Ресурсное обеспечение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реализации муниципальной программы «Развитие экономического потенциала и формирование благоприятного предпринимательского климата                    в Губкинском городском округе Белгородской области» за счет средств бюджета Губкинского городского округа Белгородской области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, соисполнители, участники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Расходы (тыс. рублей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),  годы</w:t>
            </w:r>
            <w:proofErr w:type="gramEnd"/>
          </w:p>
        </w:tc>
      </w:tr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предпринимательского климата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22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1699,9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522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1699,9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общественного питания на территории Губкинского городского округа Белгородской области»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потребительского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рын</w:t>
            </w:r>
            <w:proofErr w:type="spell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-ка</w:t>
            </w:r>
            <w:proofErr w:type="gram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, бытовых услуг и защиты прав потребителей)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0910229290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рын</w:t>
            </w:r>
            <w:proofErr w:type="spell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-ка</w:t>
            </w:r>
            <w:proofErr w:type="gram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0920120450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0920229290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«Развитие и поддержка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малого и среднего предпринимательства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1643,9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управления 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1643,9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136,2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Администрация Губкинского городского округа (в лице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управления сельского хозяйства)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деятельности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предпринимательства, органи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мательства в конфе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ниях круглых столов, конкурсах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Проведение ежегодного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конкурса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13,05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Информационно-образова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тельской деятельно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18,95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и проведение на терри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тории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сельского хозяйства)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1398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Мероприятие 3.1.5.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мероприятий информационного характера в целях развития ТОР «Губкин» и привлечения новых резидентов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поддержка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 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среднего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а также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ствование инфраструктуры поддержки малого и среднего предпринимательства в Губкинском городском             округе Белгородской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trHeight w:val="1264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городского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эко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мики и ценовой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3000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23,648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92,64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I555270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76,352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640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:rsidR="00954C0C" w:rsidRPr="00954C0C" w:rsidRDefault="00954C0C" w:rsidP="00954C0C">
      <w:pPr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55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, соисполнители, участники</w:t>
            </w:r>
          </w:p>
        </w:tc>
        <w:tc>
          <w:tcPr>
            <w:tcW w:w="2410" w:type="dxa"/>
            <w:gridSpan w:val="2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gridSpan w:val="6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Расходы (тыс. рублей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),  годы</w:t>
            </w:r>
            <w:proofErr w:type="gramEnd"/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rPr>
          <w:trHeight w:val="373"/>
          <w:tblHeader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экономического потенциала и формиро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ва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ние благоприятного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пред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при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нимательского климата в Губкинском городском округе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144,2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240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144,3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общественного пита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ния на территории Губкин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ского городского округа Белгородской области»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потребительского рынка,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lastRenderedPageBreak/>
              <w:t>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0910229290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0920120450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0920229290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«Развитие и поддержка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малого и сред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предприни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ства в Губкинском городском округе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87,7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области ремесленной и выставочно-ярмарочной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ния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экономики и ценовой политики, управления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деятельности субъектов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Проведение ежегодного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конкурса «Губкинский предприниматель», приурочен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к празднованию Дня российского предприниматель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Информационно-образова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и проведение на терри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тории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ского округа Белгородской области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мероприятий информационного характера в целях развития ТОР «Губкин» и привлечения новых резидентов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поддержка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а также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178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го 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 (гранты) –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производи-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телей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L5270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I555270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Улучшение условий и охраны труда в Губкинском городском округе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Основное мероприятие 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конкурсов по вопросам охраны труда среди работодателей Губкинского городского округа Белгородской области, Дня охраны труда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0940229320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об изменениях в трудовом законодательстве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shd w:val="clear" w:color="auto" w:fill="FFFFFF"/>
        <w:spacing w:after="0" w:line="240" w:lineRule="auto"/>
        <w:ind w:left="5" w:hanging="5"/>
        <w:jc w:val="both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Приложение № 5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                                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Сведения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 методике расчета показателей конечного результата муниципальной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в Губкинском городском округе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816"/>
        <w:gridCol w:w="1417"/>
        <w:gridCol w:w="6237"/>
        <w:gridCol w:w="1843"/>
        <w:gridCol w:w="2410"/>
      </w:tblGrid>
      <w:tr w:rsidR="00954C0C" w:rsidRPr="00954C0C" w:rsidTr="00CA7706">
        <w:trPr>
          <w:tblHeader/>
        </w:trPr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br w:type="page"/>
              <w:t xml:space="preserve">№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Метод сбора информации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Временные характеристики показателя</w:t>
            </w:r>
          </w:p>
        </w:tc>
      </w:tr>
      <w:tr w:rsidR="00954C0C" w:rsidRPr="00954C0C" w:rsidTr="00CA7706">
        <w:tc>
          <w:tcPr>
            <w:tcW w:w="15276" w:type="dxa"/>
            <w:gridSpan w:val="6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Губкинском городском округе Белгородской области»</w:t>
            </w:r>
          </w:p>
        </w:tc>
      </w:tr>
      <w:tr w:rsidR="00954C0C" w:rsidRPr="00954C0C" w:rsidTr="00CA7706">
        <w:trPr>
          <w:trHeight w:val="1083"/>
        </w:trPr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посадочных мест в предприятиях общественного питания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Кпм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 Кпм1+ Кпм2+Кпм3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+….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Кпм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n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1 тысячу жителей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Чнас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*1000, где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обеспеченность торговыми площадями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площадь всех торговых площадей  городского округа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Чнас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- численность населения городского округа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Чмп+Чип+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)/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Чмп+Чип+Чн+Чср+Чкр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)*100, где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доля занятых в малом и среднем бизнесе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численность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работающих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малых предприятиях,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Чип - численность работающих в ИП,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численность работающих у ИП по найму,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Чср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 работающих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средних предприятиях,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Чкр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 работающих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крупных предприятиях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1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237" w:type="dxa"/>
            <w:vAlign w:val="bottom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/1000)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 в результате несчастных случаев на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производстве с утратой трудоспособности на 1 рабочий день и более и со смертельным исходом в расчете на 1000 работающих,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1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со смертельным исходом в расчете на 1000 работающих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237" w:type="dxa"/>
            <w:vAlign w:val="bottom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/1000)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D81D25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. Литвинова</w:t>
      </w:r>
    </w:p>
    <w:sectPr w:rsidR="00D81D25" w:rsidRPr="00954C0C" w:rsidSect="00954C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749E6">
      <w:pPr>
        <w:spacing w:after="0" w:line="240" w:lineRule="auto"/>
      </w:pPr>
      <w:r>
        <w:separator/>
      </w:r>
    </w:p>
  </w:endnote>
  <w:endnote w:type="continuationSeparator" w:id="0">
    <w:p w:rsidR="00000000" w:rsidRDefault="0037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749E6">
      <w:pPr>
        <w:spacing w:after="0" w:line="240" w:lineRule="auto"/>
      </w:pPr>
      <w:r>
        <w:separator/>
      </w:r>
    </w:p>
  </w:footnote>
  <w:footnote w:type="continuationSeparator" w:id="0">
    <w:p w:rsidR="00000000" w:rsidRDefault="0037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CF04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4C0C" w:rsidRDefault="00954C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749E6">
      <w:rPr>
        <w:noProof/>
      </w:rPr>
      <w:t>6</w:t>
    </w:r>
    <w:r>
      <w:fldChar w:fldCharType="end"/>
    </w:r>
  </w:p>
  <w:p w:rsidR="00954C0C" w:rsidRDefault="00954C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013D37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A346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326B9">
      <w:rPr>
        <w:noProof/>
      </w:rPr>
      <w:t>78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0000032"/>
    <w:multiLevelType w:val="hybridMultilevel"/>
    <w:tmpl w:val="649BB7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AB601F"/>
    <w:multiLevelType w:val="multilevel"/>
    <w:tmpl w:val="95C650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1570BFA"/>
    <w:multiLevelType w:val="hybridMultilevel"/>
    <w:tmpl w:val="D49C04D2"/>
    <w:lvl w:ilvl="0" w:tplc="39C48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40663"/>
    <w:multiLevelType w:val="hybridMultilevel"/>
    <w:tmpl w:val="5BECC27C"/>
    <w:lvl w:ilvl="0" w:tplc="14F411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52620E"/>
    <w:multiLevelType w:val="hybridMultilevel"/>
    <w:tmpl w:val="26D64A16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A84C04"/>
    <w:multiLevelType w:val="hybridMultilevel"/>
    <w:tmpl w:val="DCCE4E58"/>
    <w:lvl w:ilvl="0" w:tplc="A52E7E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6F5870"/>
    <w:multiLevelType w:val="hybridMultilevel"/>
    <w:tmpl w:val="DF16EB66"/>
    <w:lvl w:ilvl="0" w:tplc="09240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D54B3C"/>
    <w:multiLevelType w:val="hybridMultilevel"/>
    <w:tmpl w:val="C4A6C3F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26147D5E"/>
    <w:multiLevelType w:val="hybridMultilevel"/>
    <w:tmpl w:val="AE50D11A"/>
    <w:lvl w:ilvl="0" w:tplc="14F411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2B45D2"/>
    <w:multiLevelType w:val="hybridMultilevel"/>
    <w:tmpl w:val="876E0DBE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B22972"/>
    <w:multiLevelType w:val="multilevel"/>
    <w:tmpl w:val="6BA0375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A9112E"/>
    <w:multiLevelType w:val="hybridMultilevel"/>
    <w:tmpl w:val="A6F48C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8478EF"/>
    <w:multiLevelType w:val="multilevel"/>
    <w:tmpl w:val="9550CA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4974E2E"/>
    <w:multiLevelType w:val="hybridMultilevel"/>
    <w:tmpl w:val="A37C6438"/>
    <w:lvl w:ilvl="0" w:tplc="3D8C92E4">
      <w:start w:val="1"/>
      <w:numFmt w:val="decimal"/>
      <w:lvlText w:val="%1."/>
      <w:lvlJc w:val="left"/>
      <w:pPr>
        <w:tabs>
          <w:tab w:val="num" w:pos="1053"/>
        </w:tabs>
        <w:ind w:left="105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7" w15:restartNumberingAfterBreak="0">
    <w:nsid w:val="370334F5"/>
    <w:multiLevelType w:val="multilevel"/>
    <w:tmpl w:val="D514E4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DD30C8"/>
    <w:multiLevelType w:val="hybridMultilevel"/>
    <w:tmpl w:val="51268964"/>
    <w:lvl w:ilvl="0" w:tplc="14F41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1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8D8549F"/>
    <w:multiLevelType w:val="hybridMultilevel"/>
    <w:tmpl w:val="D93ED4B8"/>
    <w:lvl w:ilvl="0" w:tplc="8810474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 w15:restartNumberingAfterBreak="0">
    <w:nsid w:val="4D6616A9"/>
    <w:multiLevelType w:val="hybridMultilevel"/>
    <w:tmpl w:val="0AFE08A8"/>
    <w:lvl w:ilvl="0" w:tplc="39C482CC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E7D64F9"/>
    <w:multiLevelType w:val="hybridMultilevel"/>
    <w:tmpl w:val="87183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700D11"/>
    <w:multiLevelType w:val="hybridMultilevel"/>
    <w:tmpl w:val="1AFC9BA0"/>
    <w:lvl w:ilvl="0" w:tplc="14F411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9E454EF"/>
    <w:multiLevelType w:val="hybridMultilevel"/>
    <w:tmpl w:val="FF18C622"/>
    <w:lvl w:ilvl="0" w:tplc="14F411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0331AA"/>
    <w:multiLevelType w:val="hybridMultilevel"/>
    <w:tmpl w:val="12C0AD26"/>
    <w:lvl w:ilvl="0" w:tplc="14F41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6591D"/>
    <w:multiLevelType w:val="hybridMultilevel"/>
    <w:tmpl w:val="ED381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C26F53"/>
    <w:multiLevelType w:val="hybridMultilevel"/>
    <w:tmpl w:val="90A23A98"/>
    <w:lvl w:ilvl="0" w:tplc="EA02EA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4" w15:restartNumberingAfterBreak="0">
    <w:nsid w:val="67516E13"/>
    <w:multiLevelType w:val="hybridMultilevel"/>
    <w:tmpl w:val="5C28CA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C690A"/>
    <w:multiLevelType w:val="hybridMultilevel"/>
    <w:tmpl w:val="68469F90"/>
    <w:lvl w:ilvl="0" w:tplc="4768E158">
      <w:start w:val="1"/>
      <w:numFmt w:val="decimal"/>
      <w:lvlText w:val="%1."/>
      <w:lvlJc w:val="left"/>
      <w:pPr>
        <w:tabs>
          <w:tab w:val="num" w:pos="1029"/>
        </w:tabs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9"/>
        </w:tabs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9"/>
        </w:tabs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9"/>
        </w:tabs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9"/>
        </w:tabs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9"/>
        </w:tabs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9"/>
        </w:tabs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9"/>
        </w:tabs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9"/>
        </w:tabs>
        <w:ind w:left="6789" w:hanging="180"/>
      </w:pPr>
    </w:lvl>
  </w:abstractNum>
  <w:abstractNum w:abstractNumId="36" w15:restartNumberingAfterBreak="0">
    <w:nsid w:val="6C70628A"/>
    <w:multiLevelType w:val="hybridMultilevel"/>
    <w:tmpl w:val="0846C672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724C12"/>
    <w:multiLevelType w:val="hybridMultilevel"/>
    <w:tmpl w:val="8E1C5A16"/>
    <w:lvl w:ilvl="0" w:tplc="14F411F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4"/>
  </w:num>
  <w:num w:numId="4">
    <w:abstractNumId w:val="27"/>
  </w:num>
  <w:num w:numId="5">
    <w:abstractNumId w:val="37"/>
  </w:num>
  <w:num w:numId="6">
    <w:abstractNumId w:val="9"/>
  </w:num>
  <w:num w:numId="7">
    <w:abstractNumId w:val="33"/>
  </w:num>
  <w:num w:numId="8">
    <w:abstractNumId w:val="19"/>
  </w:num>
  <w:num w:numId="9">
    <w:abstractNumId w:val="0"/>
  </w:num>
  <w:num w:numId="10">
    <w:abstractNumId w:val="13"/>
  </w:num>
  <w:num w:numId="11">
    <w:abstractNumId w:val="16"/>
  </w:num>
  <w:num w:numId="12">
    <w:abstractNumId w:val="35"/>
  </w:num>
  <w:num w:numId="13">
    <w:abstractNumId w:val="29"/>
  </w:num>
  <w:num w:numId="14">
    <w:abstractNumId w:val="25"/>
  </w:num>
  <w:num w:numId="15">
    <w:abstractNumId w:val="22"/>
  </w:num>
  <w:num w:numId="16">
    <w:abstractNumId w:val="7"/>
  </w:num>
  <w:num w:numId="17">
    <w:abstractNumId w:val="32"/>
  </w:num>
  <w:num w:numId="18">
    <w:abstractNumId w:val="6"/>
  </w:num>
  <w:num w:numId="19">
    <w:abstractNumId w:val="4"/>
  </w:num>
  <w:num w:numId="20">
    <w:abstractNumId w:val="28"/>
  </w:num>
  <w:num w:numId="21">
    <w:abstractNumId w:val="10"/>
  </w:num>
  <w:num w:numId="22">
    <w:abstractNumId w:val="26"/>
  </w:num>
  <w:num w:numId="23">
    <w:abstractNumId w:val="18"/>
  </w:num>
  <w:num w:numId="24">
    <w:abstractNumId w:val="38"/>
  </w:num>
  <w:num w:numId="25">
    <w:abstractNumId w:val="30"/>
  </w:num>
  <w:num w:numId="26">
    <w:abstractNumId w:val="12"/>
  </w:num>
  <w:num w:numId="27">
    <w:abstractNumId w:val="17"/>
  </w:num>
  <w:num w:numId="28">
    <w:abstractNumId w:val="31"/>
  </w:num>
  <w:num w:numId="29">
    <w:abstractNumId w:val="14"/>
  </w:num>
  <w:num w:numId="30">
    <w:abstractNumId w:val="15"/>
  </w:num>
  <w:num w:numId="31">
    <w:abstractNumId w:val="2"/>
  </w:num>
  <w:num w:numId="32">
    <w:abstractNumId w:val="11"/>
  </w:num>
  <w:num w:numId="33">
    <w:abstractNumId w:val="3"/>
  </w:num>
  <w:num w:numId="34">
    <w:abstractNumId w:val="23"/>
  </w:num>
  <w:num w:numId="35">
    <w:abstractNumId w:val="36"/>
  </w:num>
  <w:num w:numId="36">
    <w:abstractNumId w:val="8"/>
  </w:num>
  <w:num w:numId="37">
    <w:abstractNumId w:val="5"/>
  </w:num>
  <w:num w:numId="38">
    <w:abstractNumId w:val="34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11313F"/>
    <w:rsid w:val="002C0391"/>
    <w:rsid w:val="003326B9"/>
    <w:rsid w:val="003749E6"/>
    <w:rsid w:val="003A56E6"/>
    <w:rsid w:val="00471D4B"/>
    <w:rsid w:val="006D6FB9"/>
    <w:rsid w:val="008F2367"/>
    <w:rsid w:val="00901CD3"/>
    <w:rsid w:val="00954C0C"/>
    <w:rsid w:val="00A07674"/>
    <w:rsid w:val="00AD7095"/>
    <w:rsid w:val="00C44003"/>
    <w:rsid w:val="00D81D25"/>
    <w:rsid w:val="00DA08E7"/>
    <w:rsid w:val="00DA7B86"/>
    <w:rsid w:val="00ED4A87"/>
    <w:rsid w:val="00ED4C3B"/>
    <w:rsid w:val="00EE7EF3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4C0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954C0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semiHidden/>
    <w:unhideWhenUsed/>
    <w:rsid w:val="00954C0C"/>
  </w:style>
  <w:style w:type="paragraph" w:styleId="a3">
    <w:name w:val="header"/>
    <w:basedOn w:val="a"/>
    <w:link w:val="a4"/>
    <w:rsid w:val="00954C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54C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54C0C"/>
  </w:style>
  <w:style w:type="paragraph" w:styleId="a6">
    <w:name w:val="Balloon Text"/>
    <w:basedOn w:val="a"/>
    <w:link w:val="a7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954C0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0">
    <w:name w:val="Нет списка11"/>
    <w:next w:val="a2"/>
    <w:semiHidden/>
    <w:rsid w:val="00954C0C"/>
  </w:style>
  <w:style w:type="paragraph" w:customStyle="1" w:styleId="a8">
    <w:name w:val="Стиль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54C0C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link w:val="ListParagraphChar2"/>
    <w:uiPriority w:val="34"/>
    <w:qFormat/>
    <w:rsid w:val="00954C0C"/>
    <w:pPr>
      <w:spacing w:after="200" w:line="276" w:lineRule="auto"/>
      <w:ind w:left="720"/>
    </w:pPr>
    <w:rPr>
      <w:rFonts w:ascii="Calibri" w:eastAsia="Times New Roman" w:hAnsi="Calibri" w:cs="Times New Roman"/>
      <w:lang w:val="x-none"/>
    </w:rPr>
  </w:style>
  <w:style w:type="table" w:styleId="a9">
    <w:name w:val="Table Grid"/>
    <w:basedOn w:val="a1"/>
    <w:rsid w:val="00954C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54C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16"/>
      <w:szCs w:val="16"/>
      <w:lang w:eastAsia="ru-RU"/>
    </w:rPr>
  </w:style>
  <w:style w:type="paragraph" w:styleId="aa">
    <w:name w:val="footer"/>
    <w:basedOn w:val="a"/>
    <w:link w:val="ab"/>
    <w:rsid w:val="00954C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rsid w:val="00954C0C"/>
    <w:rPr>
      <w:rFonts w:ascii="Calibri" w:eastAsia="Calibri" w:hAnsi="Calibri" w:cs="Times New Roman"/>
      <w:sz w:val="20"/>
      <w:szCs w:val="20"/>
      <w:lang w:val="x-none" w:eastAsia="x-none"/>
    </w:rPr>
  </w:style>
  <w:style w:type="table" w:customStyle="1" w:styleId="13">
    <w:name w:val="Сетка таблицы1"/>
    <w:rsid w:val="00954C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rsid w:val="00954C0C"/>
    <w:pPr>
      <w:shd w:val="clear" w:color="auto" w:fill="000080"/>
      <w:spacing w:after="200" w:line="276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ad">
    <w:name w:val="Схема документа Знак"/>
    <w:basedOn w:val="a0"/>
    <w:link w:val="ac"/>
    <w:rsid w:val="00954C0C"/>
    <w:rPr>
      <w:rFonts w:ascii="Tahoma" w:eastAsia="Times New Roman" w:hAnsi="Tahoma" w:cs="Times New Roman"/>
      <w:sz w:val="20"/>
      <w:szCs w:val="20"/>
      <w:shd w:val="clear" w:color="auto" w:fill="000080"/>
      <w:lang w:val="x-none"/>
    </w:rPr>
  </w:style>
  <w:style w:type="paragraph" w:customStyle="1" w:styleId="Default">
    <w:name w:val="Default"/>
    <w:rsid w:val="00954C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rsid w:val="00954C0C"/>
    <w:rPr>
      <w:color w:val="0000FF"/>
      <w:u w:val="single"/>
    </w:rPr>
  </w:style>
  <w:style w:type="character" w:customStyle="1" w:styleId="ListParagraphChar2">
    <w:name w:val="List Paragraph Char2"/>
    <w:link w:val="12"/>
    <w:uiPriority w:val="34"/>
    <w:locked/>
    <w:rsid w:val="00954C0C"/>
    <w:rPr>
      <w:rFonts w:ascii="Calibri" w:eastAsia="Times New Roman" w:hAnsi="Calibri" w:cs="Times New Roman"/>
      <w:lang w:val="x-none"/>
    </w:rPr>
  </w:style>
  <w:style w:type="paragraph" w:styleId="af">
    <w:name w:val="List Paragraph"/>
    <w:basedOn w:val="a"/>
    <w:uiPriority w:val="34"/>
    <w:qFormat/>
    <w:rsid w:val="00954C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iPriority w:val="99"/>
    <w:unhideWhenUsed/>
    <w:rsid w:val="00954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954C0C"/>
    <w:rPr>
      <w:b/>
      <w:bCs/>
    </w:rPr>
  </w:style>
  <w:style w:type="character" w:customStyle="1" w:styleId="apple-converted-space">
    <w:name w:val="apple-converted-space"/>
    <w:basedOn w:val="a0"/>
    <w:rsid w:val="00954C0C"/>
  </w:style>
  <w:style w:type="table" w:customStyle="1" w:styleId="2">
    <w:name w:val="Сетка таблицы2"/>
    <w:basedOn w:val="a1"/>
    <w:next w:val="a9"/>
    <w:uiPriority w:val="99"/>
    <w:rsid w:val="00954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rsid w:val="00954C0C"/>
    <w:rPr>
      <w:sz w:val="16"/>
      <w:szCs w:val="16"/>
    </w:rPr>
  </w:style>
  <w:style w:type="paragraph" w:styleId="af3">
    <w:name w:val="annotation text"/>
    <w:basedOn w:val="a"/>
    <w:link w:val="af4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954C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954C0C"/>
    <w:rPr>
      <w:b/>
      <w:bCs/>
    </w:rPr>
  </w:style>
  <w:style w:type="character" w:customStyle="1" w:styleId="af6">
    <w:name w:val="Тема примечания Знак"/>
    <w:basedOn w:val="af4"/>
    <w:link w:val="af5"/>
    <w:rsid w:val="00954C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6" Type="http://schemas.openxmlformats.org/officeDocument/2006/relationships/hyperlink" Target="consultantplus://offline/ref=10691586363B407F60142AA8036C3FDD19A8F1DD7C7DDD9CBE52A637C751FE542B3FD6E82EC2B4850F0172B25EW2k0N" TargetMode="External"/><Relationship Id="rId39" Type="http://schemas.openxmlformats.org/officeDocument/2006/relationships/hyperlink" Target="consultantplus://offline/ref=F17534FF5EC207DA1C822BDD0899C5ACFEE6F5BFDCD48DDF6AE3FB68D5273C592AC715AA77D35B72n2p4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34" Type="http://schemas.openxmlformats.org/officeDocument/2006/relationships/hyperlink" Target="consultantplus://offline/ref=10691586363B407F601434A5150065D019A3AAD87C78D5CBE70DFD6A9058F4037E70D7B46A95A785040170BB4220F4AAW8kEN" TargetMode="External"/><Relationship Id="rId42" Type="http://schemas.openxmlformats.org/officeDocument/2006/relationships/hyperlink" Target="consultantplus://offline/ref=8614F751E11C55CA0C5F094A44FEC235C623036C49AA914A22DA734D31C9BFA1E6F9BA9B1ED7U8BBH" TargetMode="External"/><Relationship Id="rId47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25" Type="http://schemas.openxmlformats.org/officeDocument/2006/relationships/hyperlink" Target="consultantplus://offline/ref=10691586363B407F60142AA8036C3FDD19AAF6D47E7DDD9CBE52A637C751FE542B3FD6E82EC2B4850F0172B25EW2k0N" TargetMode="External"/><Relationship Id="rId33" Type="http://schemas.openxmlformats.org/officeDocument/2006/relationships/hyperlink" Target="consultantplus://offline/ref=10691586363B407F601434A5150065D019A3AAD87C7DD1CDE00DFD6A9058F4037E70D7B46A95A785040170BB4220F4AAW8kEN" TargetMode="External"/><Relationship Id="rId38" Type="http://schemas.openxmlformats.org/officeDocument/2006/relationships/hyperlink" Target="consultantplus://offline/ref=F17534FF5EC207DA1C822BDD0899C5ACFEE6F5BFDCD48DDF6AE3FB68D5273C592AC715AA77D5507Bn2p2N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41" Type="http://schemas.openxmlformats.org/officeDocument/2006/relationships/hyperlink" Target="consultantplus://offline/ref=F17534FF5EC207DA1C822BDD0899C5ACFEE6F5BFDCD48DDF6AE3FB68D5273C592AC715AA77D25D71n2p2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32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7" Type="http://schemas.openxmlformats.org/officeDocument/2006/relationships/hyperlink" Target="consultantplus://offline/ref=F17534FF5EC207DA1C822BDD0899C5ACFEE6F5BFDCD48DDF6AE3FB68D5273C592AC715AA77D75F73n2p1N" TargetMode="External"/><Relationship Id="rId40" Type="http://schemas.openxmlformats.org/officeDocument/2006/relationships/hyperlink" Target="consultantplus://offline/ref=F17534FF5EC207DA1C822BDD0899C5ACFEE6F5BFDCD48DDF6AE3FB68D5273C592AC715AA77D35F7Bn2p2N" TargetMode="Externa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28" Type="http://schemas.openxmlformats.org/officeDocument/2006/relationships/hyperlink" Target="consultantplus://offline/ref=10691586363B407F601434A5150065D019A3AAD87876D0CEE00DFD6A9058F4037E70D7B46A95A785040170BB4220F4AAW8kEN" TargetMode="External"/><Relationship Id="rId36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22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7" Type="http://schemas.openxmlformats.org/officeDocument/2006/relationships/hyperlink" Target="consultantplus://offline/ref=10691586363B407F601434A5150065D019A3AAD8777DD3CBEB0DFD6A9058F4037E70D7B46A95A785040170BB4220F4AAW8kEN" TargetMode="External"/><Relationship Id="rId30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5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3" Type="http://schemas.openxmlformats.org/officeDocument/2006/relationships/hyperlink" Target="consultantplus://offline/ref=61AB163AB708261C9087CDD51787ED62A8A493F6EA9987E0CFC2D974F4289C98BA7C4FFAE1F2CE348AADCEDE0C63ADA3P4F2O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0D0A-C187-4FC4-BA7F-731CEF29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78</Pages>
  <Words>27842</Words>
  <Characters>158706</Characters>
  <Application>Microsoft Office Word</Application>
  <DocSecurity>0</DocSecurity>
  <Lines>1322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21</cp:revision>
  <dcterms:created xsi:type="dcterms:W3CDTF">2022-09-02T13:36:00Z</dcterms:created>
  <dcterms:modified xsi:type="dcterms:W3CDTF">2024-06-05T14:20:00Z</dcterms:modified>
</cp:coreProperties>
</file>