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ПРОЕКТ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ГУБКИНСКИЙ ГОРОДСКОЙ ОКРУГ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БЕЛГОРОДСКОЙ ОБЛАСТИ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 Narrow" w:hAnsi="Arial Narrow" w:cs="Arial"/>
          <w:b/>
          <w:color w:themeColor="text1" w:val="000000"/>
          <w:sz w:val="36"/>
          <w:szCs w:val="36"/>
        </w:rPr>
      </w:pPr>
      <w:r>
        <w:rPr>
          <w:rFonts w:cs="Arial" w:ascii="Arial Narrow" w:hAnsi="Arial Narrow"/>
          <w:b/>
          <w:color w:themeColor="text1" w:val="000000"/>
          <w:sz w:val="36"/>
          <w:szCs w:val="36"/>
        </w:rPr>
        <w:t>АДМИНИСТРАЦИЯ ГУБКИНСКОГО ГОРОДСКОГО ОКРУГА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color w:themeColor="text1" w:val="000000"/>
          <w:sz w:val="32"/>
          <w:szCs w:val="32"/>
        </w:rPr>
      </w:pPr>
      <w:r>
        <w:rPr>
          <w:rFonts w:cs="Arial" w:ascii="Arial" w:hAnsi="Arial"/>
          <w:color w:themeColor="text1" w:val="000000"/>
          <w:sz w:val="32"/>
          <w:szCs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>Губкин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 “</w:t>
      </w: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________” _____________________ 2024 г.                              </w:t>
        <w:tab/>
        <w:tab/>
        <w:t xml:space="preserve">                                       № ___________</w:t>
      </w:r>
    </w:p>
    <w:p>
      <w:pPr>
        <w:pStyle w:val="Normal"/>
        <w:spacing w:lineRule="auto" w:line="240" w:before="0" w:after="0"/>
        <w:rPr>
          <w:rFonts w:ascii="Tempora LGC Uni" w:hAnsi="Tempora LGC Uni" w:cs="Arial"/>
          <w:b/>
          <w:color w:themeColor="text1" w:val="000000"/>
          <w:sz w:val="28"/>
          <w:szCs w:val="28"/>
        </w:rPr>
      </w:pPr>
      <w:r>
        <w:rPr>
          <w:rFonts w:cs="Arial" w:ascii="Tempora LGC Uni" w:hAnsi="Tempora LGC Uni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empora LGC Uni" w:hAnsi="Tempora LGC Uni" w:cs="Arial"/>
          <w:b/>
          <w:color w:themeColor="text1" w:val="000000"/>
          <w:sz w:val="28"/>
          <w:szCs w:val="28"/>
        </w:rPr>
      </w:pPr>
      <w:r>
        <w:rPr>
          <w:rFonts w:cs="Arial" w:ascii="Tempora LGC Uni" w:hAnsi="Tempora LGC Uni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198"/>
        <w:contextualSpacing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Об утверждении порядка установления </w:t>
      </w:r>
    </w:p>
    <w:p>
      <w:pPr>
        <w:pStyle w:val="Normal"/>
        <w:spacing w:lineRule="auto" w:line="240" w:before="0" w:after="198"/>
        <w:contextualSpacing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мер поддержки отдельным категориям </w:t>
      </w:r>
    </w:p>
    <w:p>
      <w:pPr>
        <w:pStyle w:val="Normal"/>
        <w:spacing w:lineRule="auto" w:line="240" w:before="0" w:after="198"/>
        <w:contextualSpacing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граждан при организации платных</w:t>
      </w:r>
    </w:p>
    <w:p>
      <w:pPr>
        <w:pStyle w:val="Normal"/>
        <w:spacing w:lineRule="auto" w:line="240" w:before="0" w:after="198"/>
        <w:contextualSpacing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мероприятий (услуг) учреждениями </w:t>
      </w:r>
    </w:p>
    <w:p>
      <w:pPr>
        <w:pStyle w:val="Normal"/>
        <w:spacing w:lineRule="auto" w:line="240" w:before="0" w:after="198"/>
        <w:contextualSpacing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культуры Губкинского городского округа</w:t>
      </w:r>
    </w:p>
    <w:p>
      <w:pPr>
        <w:pStyle w:val="Normal"/>
        <w:spacing w:lineRule="auto" w:line="240" w:before="0" w:after="198"/>
        <w:contextualSpacing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hanging="0" w:left="0"/>
        <w:rPr>
          <w:rFonts w:ascii="Tempora LGC Uni" w:hAnsi="Tempora LGC Uni" w:eastAsia="Times New Roman" w:cs="" w:cstheme="minorBidi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" w:cstheme="minorBidi" w:ascii="Tempora LGC Uni" w:hAnsi="Tempora LGC Uni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rPr>
          <w:rFonts w:ascii="Tempora LGC Uni" w:hAnsi="Tempora LGC Uni" w:eastAsia="Times New Roman"/>
          <w:sz w:val="28"/>
          <w:szCs w:val="28"/>
        </w:rPr>
      </w:pPr>
      <w:r>
        <w:rPr>
          <w:rFonts w:eastAsia="Times New Roman" w:ascii="Tempora LGC Uni" w:hAnsi="Tempora LGC Uni"/>
          <w:sz w:val="28"/>
          <w:szCs w:val="28"/>
        </w:rPr>
      </w:r>
    </w:p>
    <w:p>
      <w:pPr>
        <w:pStyle w:val="BodyText"/>
        <w:spacing w:lineRule="auto" w:line="240" w:before="0" w:after="0"/>
        <w:ind w:hanging="0" w:left="0"/>
        <w:contextualSpacing/>
        <w:jc w:val="both"/>
        <w:rPr/>
      </w:pPr>
      <w:r>
        <w:rPr/>
        <w:tab/>
      </w:r>
      <w:r>
        <w:rPr>
          <w:rFonts w:ascii="Tempora LGC Uni" w:hAnsi="Tempora LGC Uni"/>
          <w:sz w:val="28"/>
          <w:szCs w:val="28"/>
        </w:rPr>
        <w:t xml:space="preserve">В соответствии с Законом Российской Федерации от 9 октября 1992 года N 3612-1 «Основы законодательства Российской Федерации о культуре», Федеральным законом от 27 мая 1998 года 3e 76-ФЗ «О статусе военнослужащих», Социальным кодексом Белгородской области, постановлением Правительства Белгородской области от 29 июля 2024 года         № 341-пп «О дополнительных направлениях мер поддержки участников специальной военной операции и членов их семей», постановлением Правительства Белгородской области от 16 сентября 2024 года № 444-пп             «Об утверждении порядка установления мер поддержки отдельным категориям граждан при организации платных мероприятий (услуг) учреждениями  культуры Белгородской области», а также в целях социальной поддержки отдельных категорий граждан </w:t>
      </w:r>
    </w:p>
    <w:p>
      <w:pPr>
        <w:pStyle w:val="Normal"/>
        <w:spacing w:lineRule="auto" w:line="240" w:before="0" w:after="0"/>
        <w:jc w:val="both"/>
        <w:rPr>
          <w:rFonts w:ascii="Tempora LGC Uni" w:hAnsi="Tempora LGC Uni" w:eastAsia="Times New Roman"/>
          <w:sz w:val="28"/>
          <w:szCs w:val="28"/>
        </w:rPr>
      </w:pPr>
      <w:r>
        <w:rPr>
          <w:rFonts w:eastAsia="Times New Roman" w:ascii="Tempora LGC Uni" w:hAnsi="Tempora LGC Uni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empora LGC Uni" w:hAnsi="Tempora LGC Uni"/>
          <w:sz w:val="28"/>
          <w:szCs w:val="28"/>
        </w:rPr>
      </w:pPr>
      <w:r>
        <w:rPr>
          <w:rFonts w:eastAsia="Times New Roman" w:ascii="Tempora LGC Uni" w:hAnsi="Tempora LGC Uni"/>
          <w:b/>
          <w:sz w:val="28"/>
          <w:szCs w:val="28"/>
        </w:rPr>
        <w:t>ПОСТАНОВЛЯЕТ:</w:t>
      </w:r>
    </w:p>
    <w:p>
      <w:pPr>
        <w:pStyle w:val="Normal"/>
        <w:numPr>
          <w:ilvl w:val="0"/>
          <w:numId w:val="0"/>
        </w:numPr>
        <w:spacing w:lineRule="auto" w:line="240"/>
        <w:ind w:hanging="0" w:left="1069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Утвердить порядок установления мер поддержки отдельным категориям граждан ври организации платных мероприятий (услуг) учреждениями культуры Губкинского городского округа (прилагается).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Опубликовать постановление в средствах массовой информации.</w:t>
      </w:r>
    </w:p>
    <w:p>
      <w:pPr>
        <w:sectPr>
          <w:type w:val="nextPage"/>
          <w:pgSz w:w="11906" w:h="16838"/>
          <w:pgMar w:left="1701" w:right="707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Настоящее постановление вступает со дня его официального опубликования.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Контроль за исполнением постановления возложить                               на заместителя главы администрации по социальному развитию                Фарафонову Н. Н.</w:t>
      </w:r>
    </w:p>
    <w:p>
      <w:pPr>
        <w:pStyle w:val="Normal"/>
        <w:spacing w:lineRule="auto" w:line="240" w:before="0" w:after="0"/>
        <w:ind w:firstLine="426"/>
        <w:contextualSpacing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cs="Times New Roman" w:ascii="Tempora LGC Uni" w:hAnsi="Tempora LGC Uni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cs="Times New Roman" w:ascii="Tempora LGC Uni" w:hAnsi="Tempora LGC Uni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cs="Times New Roman" w:ascii="Tempora LGC Uni" w:hAnsi="Tempora LGC Uni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empora LGC Uni" w:hAnsi="Tempora LGC Uni"/>
          <w:sz w:val="28"/>
          <w:szCs w:val="28"/>
        </w:rPr>
      </w:pPr>
      <w:r>
        <w:rPr>
          <w:rFonts w:cs="Times New Roman" w:ascii="Tempora LGC Uni" w:hAnsi="Tempora LGC Uni"/>
          <w:b/>
          <w:sz w:val="28"/>
          <w:szCs w:val="28"/>
        </w:rPr>
        <w:tab/>
        <w:t>Глава администрации</w:t>
      </w:r>
    </w:p>
    <w:p>
      <w:pPr>
        <w:pStyle w:val="Normal"/>
        <w:spacing w:lineRule="auto" w:line="240" w:before="0" w:after="0"/>
        <w:jc w:val="both"/>
        <w:rPr>
          <w:rFonts w:ascii="Tempora LGC Uni" w:hAnsi="Tempora LGC Uni"/>
          <w:sz w:val="28"/>
          <w:szCs w:val="28"/>
        </w:rPr>
      </w:pPr>
      <w:r>
        <w:rPr>
          <w:rFonts w:cs="Times New Roman" w:ascii="Tempora LGC Uni" w:hAnsi="Tempora LGC Uni"/>
          <w:b/>
          <w:sz w:val="28"/>
          <w:szCs w:val="28"/>
        </w:rPr>
        <w:t>Губкинского городского округа                                                     М.А. Лобазнов</w:t>
      </w:r>
    </w:p>
    <w:p>
      <w:pPr>
        <w:pStyle w:val="Normal"/>
        <w:spacing w:lineRule="auto" w:line="240" w:before="0" w:after="0"/>
        <w:ind w:firstLine="426"/>
        <w:jc w:val="both"/>
        <w:rPr>
          <w:rFonts w:ascii="Tempora LGC Uni" w:hAnsi="Tempora LGC Uni" w:cs="Times New Roman"/>
          <w:b/>
          <w:sz w:val="28"/>
          <w:szCs w:val="28"/>
        </w:rPr>
      </w:pPr>
      <w:r>
        <w:rPr>
          <w:rFonts w:cs="Times New Roman" w:ascii="Tempora LGC Uni" w:hAnsi="Tempora LGC Uni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r>
        <w:br w:type="page"/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 xml:space="preserve">Приложение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 xml:space="preserve">к постановлению администрации Губкинского городского округа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от «__»________2024 г. №_____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empora LGC Uni" w:hAnsi="Tempora LGC Uni" w:cs="Times New Roman"/>
          <w:sz w:val="28"/>
          <w:szCs w:val="28"/>
        </w:rPr>
      </w:pPr>
      <w:r>
        <w:rPr>
          <w:rFonts w:cs="Times New Roman" w:ascii="Tempora LGC Uni" w:hAnsi="Tempora LGC Uni"/>
          <w:sz w:val="28"/>
          <w:szCs w:val="28"/>
        </w:rPr>
      </w:r>
    </w:p>
    <w:p>
      <w:pPr>
        <w:pStyle w:val="BodyText"/>
        <w:spacing w:lineRule="auto" w:line="240" w:before="0" w:after="0"/>
        <w:contextualSpacing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Порядок</w:t>
      </w:r>
    </w:p>
    <w:p>
      <w:pPr>
        <w:pStyle w:val="Normal"/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установления мер поддержки отдельным категориям граждан </w:t>
      </w:r>
    </w:p>
    <w:p>
      <w:pPr>
        <w:pStyle w:val="Normal"/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при организации платных мероприятий (услуг) учреждениями культуры Губкинского городского округа</w:t>
      </w:r>
    </w:p>
    <w:p>
      <w:pPr>
        <w:pStyle w:val="Normal"/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1. Общие положения</w:t>
      </w:r>
    </w:p>
    <w:p>
      <w:pPr>
        <w:pStyle w:val="BodyText"/>
        <w:numPr>
          <w:ilvl w:val="2"/>
          <w:numId w:val="2"/>
        </w:numPr>
        <w:spacing w:lineRule="auto" w:line="24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1.1 Порядок установления мер поддержки отдельным категориям граждан при организации платных мероприятий (услуг) учреждениями культуры Белгородской области (далее — Порядок) определяет установление мер поддержки отдельным категориям граждан при организации платных мероприятий (услуг) учреждениями культуры Белгородской области (культурно-досуговые учреждения, музеи, театры, концертные организации),           за исключением приглашенных коллективов.</w:t>
      </w:r>
    </w:p>
    <w:p>
      <w:pPr>
        <w:pStyle w:val="BodyText"/>
        <w:numPr>
          <w:ilvl w:val="2"/>
          <w:numId w:val="2"/>
        </w:numPr>
        <w:spacing w:lineRule="auto" w:line="240" w:before="0" w:after="142"/>
        <w:contextualSpacing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1.2 В целях социальной поддержки устанавливается льготное посещение учреждений культуры Белгородской области для следующих категорий граждан:</w:t>
      </w:r>
    </w:p>
    <w:p>
      <w:pPr>
        <w:pStyle w:val="BodyText"/>
        <w:numPr>
          <w:ilvl w:val="2"/>
          <w:numId w:val="2"/>
        </w:numPr>
        <w:spacing w:lineRule="auto" w:line="240" w:before="0" w:after="142"/>
        <w:contextualSpacing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многодетные семьи;- дети дошкольного возраста и школьники до 14 лет;</w:t>
      </w:r>
    </w:p>
    <w:p>
      <w:pPr>
        <w:pStyle w:val="BodyText"/>
        <w:numPr>
          <w:ilvl w:val="2"/>
          <w:numId w:val="2"/>
        </w:numPr>
        <w:spacing w:lineRule="auto" w:line="240" w:before="0" w:after="142"/>
        <w:contextualSpacing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инвалиды I, II групп;</w:t>
      </w:r>
    </w:p>
    <w:p>
      <w:pPr>
        <w:pStyle w:val="BodyText"/>
        <w:numPr>
          <w:ilvl w:val="2"/>
          <w:numId w:val="2"/>
        </w:numPr>
        <w:spacing w:lineRule="auto" w:line="240" w:before="0" w:after="142"/>
        <w:contextualSpacing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- военнослужащие, проходящие военную службу по призыву; </w:t>
      </w:r>
    </w:p>
    <w:p>
      <w:pPr>
        <w:pStyle w:val="BodyText"/>
        <w:numPr>
          <w:ilvl w:val="2"/>
          <w:numId w:val="2"/>
        </w:numPr>
        <w:spacing w:lineRule="auto" w:line="240" w:before="0" w:after="142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участники специальной военной операции (граждане Российской Федерации, постоянно проживающие на территории Белгородской области: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 званий  полиции,  по  мобилизации;  принимающие 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области; проходящие военную службу              в Вооруженных Силах Российской Федерации по контракту или проходящие военную службу (службу) в войсках национальной гвардии Российской Федерации;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 проходящие службу в органах внутренних дел Российской Федерации, учреждениях                   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            в пункте 6 статьи 1 Федерального закона от 31 мая 1996 года № 61-ФЗ                  «Об обороне») (далее — участники CBO), а также члены их семей.</w:t>
      </w:r>
    </w:p>
    <w:p>
      <w:pPr>
        <w:pStyle w:val="BodyText"/>
        <w:numPr>
          <w:ilvl w:val="2"/>
          <w:numId w:val="2"/>
        </w:numPr>
        <w:spacing w:lineRule="auto" w:line="24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1.3 Информация о мерах поддержки и порядке их предоставления размещается на  официальном  сайте администрации Губкинского городского округа, а также на официальных сайтах, информационных стендах                            в помещениях учреждений культуры Губкинского городского округа, и должна содержать перечень документов, при предъявлении которых предоставляется льгота.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1.4 Льготное посещение учреждений культуры Белгородской области осуществляется при подтверждении права на получение льготы.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1.5 Основаниями для отказа в предоставлении права льготного посещения учреждений культуры Белгородской области является отсутствие документов, подтверждающих право на льготу.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1.6 Заявителям, имеющим одновременно право на льготу по нескольким основаниям, льгота предоставляется по одному из оснований по выбору заявителя. Льготы не суммируются.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1.7 Льготы не предоставляются при проведении коммерческих (платных) мероприятий, организуемых сторонними юридическими или физическими лицами с использованием материально-технической базы учреждений культуры Губкинского городского округа. В указанном случае льготы могут предоставляться только в порядке договоренности непосредственно                          с организаторами данных мероприятий, при этом учреждения культуры Белгородской области могут предоставить только контактную информацию              об организаторе мероприятия.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2. Порядок предоставления мер поддержки многодетным семьям</w:t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2.1 Порядок предоставления мер поддержки многодетным семьям определяет правила и условия льготного посещения многодетными семьями (членами многодетной семьи) учреждений культуры Губкинского городского округа в соответствии с Законом Российской Федерации от 9 октября 1992 года № 3612-1 «Основы законодательства Российской Федерации о культуре», Социальным кодексом Белгородской области.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2.2 При организации платных мероприятий (услуг) учреждениями культуры Губкинского городского округа предоставляются следующие:</w:t>
      </w:r>
    </w:p>
    <w:p>
      <w:pPr>
        <w:pStyle w:val="BodyText"/>
        <w:numPr>
          <w:ilvl w:val="0"/>
          <w:numId w:val="0"/>
        </w:numPr>
        <w:spacing w:lineRule="auto" w:line="240" w:before="0" w:after="0"/>
        <w:ind w:hanging="0" w:left="72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- муниципального бюджетного учреждения культуры «Губкинский краеведческий музей» и его филиалов, парков культуры и отдыха, выставок — бесплатно;</w:t>
      </w:r>
    </w:p>
    <w:p>
      <w:pPr>
        <w:pStyle w:val="BodyText"/>
        <w:numPr>
          <w:ilvl w:val="0"/>
          <w:numId w:val="0"/>
        </w:numPr>
        <w:spacing w:lineRule="auto" w:line="240" w:before="0" w:after="0"/>
        <w:ind w:hanging="0" w:left="72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- посещение спекгаклей — 50 проценгов от полной стоимости билета;</w:t>
      </w:r>
    </w:p>
    <w:p>
      <w:pPr>
        <w:pStyle w:val="BodyText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посещение концертов, проводимых самодеятельными                                и профессиональными артистами и творческими коллективами — 50 процентов от полной стоимости билета;</w:t>
      </w:r>
    </w:p>
    <w:p>
      <w:pPr>
        <w:pStyle w:val="BodyText"/>
        <w:numPr>
          <w:ilvl w:val="0"/>
          <w:numId w:val="0"/>
        </w:numPr>
        <w:spacing w:lineRule="auto" w:line="240" w:before="0" w:after="0"/>
        <w:ind w:hanging="0" w:left="72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- посещение культурно-досуговых мероприятий, занятия в клубных формированиях — 50 процентов от полной стоимости билета (занятия).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2.3 Выдача льготных билетов осуществляется при личном обращении многодетной семьи (членами многодетной семьи), определенной в соответствии с Социальным кодексом Белгородской области, в учреждения культуры  Губкинского городского округа.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2.4 Для получения льготного билета лица, указанные в пункге 2.1 настоящего раздела, предъявляют удостоверение многодетной семьи. 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3. Порядок предоставления мер поддержки </w:t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детям дошкольного возраста и школьникам до 14 лет</w:t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3.1 Порядок предоставления мер поддержки детям дошкольного возраста и школьникам до 14 лет определяет правила и условия посещения детьми дошкольного возраста и школьниками до 14 лег, обучающимися на территории Губкинского городского округа муниципального бюджетного учреждения культуры «Губкинский краеведческий музей» и его филиалов в соответствии             с постановлением Правительства Белгородской области от 10 октября 2022 года № 587-пп «О совершенствовании музейно-просветительской деятельности              на территории Белгородской области».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3.2 Выдача льготных билетов осуществляется при личном обращении детьми дошкольного возраста и школьниками до 14 лет, обучающимися                  на территории Губкинского городского округа, в муниципальное бюджетное учреждение культуры «Губкинский краеведческий музей» и его филиалы.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3.3 Для получения льготного билета необходимо предъявить документ, подтверждающий возраст ребенка.</w:t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Порядок предоставления мер поддержки инвалидам I, II групп</w:t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4.1 Порядок предоставления мер поддержки инвалидам I, II групп определяет правила и условия льготного посещения инвалидами I, П групп учреждений культуры Губкинского городского округа в соответствии с Законом Российской Федерации от 9 октября 1992 года № 3612-1 «Основы законодательства Российской Федерации о культуре».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4.2 При организации платных мероприятий (услуг) учреждениями культуры Губкинского городского округа предоставляются следующие льготы: посещение </w:t>
        <w:tab/>
        <w:t>муниципального бюджетного учреждения культуры «Губкинский краеведческий музей» и его филиалов (без экскурсионного обслуживания)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- 50 процентов от полной стоимости билета;</w:t>
        <w:tab/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посещение спектаклей — 50 проценгов от полной стоимости билета;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посещение концертов, проводимых самодеятельными                                      и профессиональными артистами и творческими коллекгивами — 50 процентов от полной стоимости билета;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посещение</w:t>
        <w:tab/>
        <w:t xml:space="preserve"> культурно-досуговых мероприятий, занятия в клубных формированиях — 50 процентов от полной стоимости билета (занятия).</w:t>
      </w:r>
    </w:p>
    <w:p>
      <w:pPr>
        <w:pStyle w:val="BodyText"/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Одно сопровождающее лицо имеет право на льготное посещение учреждения культуры Белгородской области в размере 50 процентов от полной стоимости билета.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4.3 Выдача льготных билетов осуществляется при предоставлении документа, подтверждающего право льготного посещения инвалидами I, II групп учреждений культуры  Губкинского городского округа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4.4 Для получения льготного билета лица, указанные в пункте 4.1 настоящего раздела, предъявляют следующие документы:</w:t>
      </w:r>
    </w:p>
    <w:p>
      <w:pPr>
        <w:pStyle w:val="BodyText"/>
        <w:numPr>
          <w:ilvl w:val="3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- справка медико-социальной экспертизы, подтверждающая факт установления инвалидности. </w:t>
      </w:r>
    </w:p>
    <w:p>
      <w:pPr>
        <w:pStyle w:val="BodyText"/>
        <w:numPr>
          <w:ilvl w:val="3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паспорт гражданина Российской Федерации или иной документ, удостоверяющий личность</w:t>
      </w:r>
    </w:p>
    <w:p>
      <w:pPr>
        <w:pStyle w:val="BodyText"/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5. Порядок предоставления мер поддержки</w:t>
      </w:r>
    </w:p>
    <w:p>
      <w:pPr>
        <w:pStyle w:val="BodyText"/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военнослужащим, проходящим военную службу по призыву.</w:t>
      </w:r>
    </w:p>
    <w:p>
      <w:pPr>
        <w:pStyle w:val="BodyText"/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5.1 Порядок предоставления мер поддержки военнослужащим, проходящим военную службу по призыву, определяет правила и условия льготного посещения военнослужащими, проходящими военную службу                 по призыву, учреждений культуры Губкинского городского округа                         в соответствии с Законом Российской Федерации от 9 октября 1992 года                </w:t>
      </w:r>
      <w:r>
        <w:rPr>
          <w:rFonts w:ascii="Tempora LGC Uni" w:hAnsi="Tempora LGC Uni"/>
          <w:sz w:val="28"/>
          <w:szCs w:val="28"/>
        </w:rPr>
        <w:t xml:space="preserve">№ </w:t>
      </w:r>
      <w:r>
        <w:rPr>
          <w:rFonts w:ascii="Tempora LGC Uni" w:hAnsi="Tempora LGC Uni"/>
          <w:sz w:val="28"/>
          <w:szCs w:val="28"/>
        </w:rPr>
        <w:t>3612-1 «Основы законодательства Российской Федерации о культуре», Федеральным законом от 27 мая 1998 года № 76-ФЗ «О статусе военнослужащих».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/>
      </w:pPr>
      <w:r>
        <w:rPr>
          <w:rFonts w:ascii="Tempora LGC Uni" w:hAnsi="Tempora LGC Uni"/>
          <w:sz w:val="28"/>
          <w:szCs w:val="28"/>
        </w:rPr>
        <w:tab/>
      </w:r>
      <w:r>
        <w:rPr>
          <w:rFonts w:ascii="Tempora LGC Uni" w:hAnsi="Tempora LGC Uni"/>
          <w:sz w:val="28"/>
          <w:szCs w:val="28"/>
        </w:rPr>
        <w:t xml:space="preserve">5.2 При организации платных мероприятий </w:t>
      </w:r>
      <w:r>
        <w:rPr>
          <w:rFonts w:ascii="Tempora LGC Uni" w:hAnsi="Tempora LGC Uni"/>
          <w:sz w:val="28"/>
          <w:szCs w:val="28"/>
        </w:rPr>
        <w:t>у</w:t>
      </w:r>
      <w:r>
        <w:rPr>
          <w:rFonts w:ascii="Tempora LGC Uni" w:hAnsi="Tempora LGC Uni"/>
          <w:sz w:val="28"/>
          <w:szCs w:val="28"/>
        </w:rPr>
        <w:t>чреждениями культуры Губкинского городского округа предоставляются следующие льготы:</w:t>
      </w:r>
    </w:p>
    <w:p>
      <w:pPr>
        <w:pStyle w:val="BodyText"/>
        <w:widowControl/>
        <w:numPr>
          <w:ilvl w:val="0"/>
          <w:numId w:val="2"/>
        </w:numPr>
        <w:suppressAutoHyphens w:val="true"/>
        <w:bidi w:val="0"/>
        <w:spacing w:lineRule="auto" w:line="240" w:before="0" w:after="142"/>
        <w:ind w:hanging="0" w:left="0" w:right="0"/>
        <w:contextualSpacing/>
        <w:jc w:val="both"/>
        <w:rPr/>
      </w:pPr>
      <w:r>
        <w:rPr>
          <w:rFonts w:ascii="Tempora LGC Uni" w:hAnsi="Tempora LGC Uni"/>
          <w:sz w:val="28"/>
          <w:szCs w:val="28"/>
        </w:rPr>
        <w:tab/>
        <w:t>- посещение муниципального бюджетного учреждения культуры «Губкинский краеведческий музей» и его филиалов (с экскурсионным обслуживанием) музеев — бесплатно;</w:t>
      </w:r>
    </w:p>
    <w:p>
      <w:pPr>
        <w:pStyle w:val="BodyText"/>
        <w:widowControl/>
        <w:numPr>
          <w:ilvl w:val="0"/>
          <w:numId w:val="2"/>
        </w:numPr>
        <w:suppressAutoHyphens w:val="true"/>
        <w:bidi w:val="0"/>
        <w:spacing w:lineRule="auto" w:line="240" w:before="0" w:after="142"/>
        <w:ind w:hanging="0" w:left="0" w:right="0"/>
        <w:contextualSpacing/>
        <w:jc w:val="both"/>
        <w:rPr/>
      </w:pPr>
      <w:r>
        <w:rPr>
          <w:rFonts w:ascii="Tempora LGC Uni" w:hAnsi="Tempora LGC Uni"/>
          <w:sz w:val="28"/>
          <w:szCs w:val="28"/>
        </w:rPr>
        <w:tab/>
        <w:t>- посещение спектаклей — бесплатно;</w:t>
      </w:r>
    </w:p>
    <w:p>
      <w:pPr>
        <w:pStyle w:val="BodyText"/>
        <w:widowControl/>
        <w:numPr>
          <w:ilvl w:val="0"/>
          <w:numId w:val="2"/>
        </w:numPr>
        <w:suppressAutoHyphens w:val="true"/>
        <w:bidi w:val="0"/>
        <w:spacing w:lineRule="auto" w:line="240" w:before="0" w:after="142"/>
        <w:ind w:hanging="0" w:left="0" w:right="0"/>
        <w:contextualSpacing/>
        <w:jc w:val="both"/>
        <w:rPr/>
      </w:pPr>
      <w:r>
        <w:rPr>
          <w:rFonts w:ascii="Tempora LGC Uni" w:hAnsi="Tempora LGC Uni"/>
          <w:sz w:val="28"/>
          <w:szCs w:val="28"/>
        </w:rPr>
        <w:tab/>
        <w:t>- посещение концертов, проводимых самодеятельными                                  и профессиональными артистами и творческими коллективами — бесплатно;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/>
      </w:pPr>
      <w:r>
        <w:rPr>
          <w:rFonts w:ascii="Tempora LGC Uni" w:hAnsi="Tempora LGC Uni"/>
          <w:sz w:val="28"/>
          <w:szCs w:val="28"/>
        </w:rPr>
        <w:tab/>
        <w:t>- посещение культурно-досуговых мероприятий — бесплатно.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5.3 Выдача льготн</w:t>
      </w:r>
      <w:r>
        <w:rPr>
          <w:rFonts w:ascii="Tempora LGC Uni" w:hAnsi="Tempora LGC Uni"/>
          <w:sz w:val="28"/>
          <w:szCs w:val="28"/>
        </w:rPr>
        <w:t>ы</w:t>
      </w:r>
      <w:r>
        <w:rPr>
          <w:rFonts w:ascii="Tempora LGC Uni" w:hAnsi="Tempora LGC Uni"/>
          <w:sz w:val="28"/>
          <w:szCs w:val="28"/>
        </w:rPr>
        <w:t>х билетов осуществляется при личном обращении военнослужащими, проходящими военную службу по призыву, в учреждения культуры муниципального бюджетного учреждения культуры «Губкинского городского округа.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5.4 Для получения бесплатного билета лица, указанные в пункте 5.1 настоящего раздела, предъявляют военный билет с записью, подтверждающей прохождение военной службы по призыву.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6. </w:t>
      </w:r>
      <w:r>
        <w:rPr>
          <w:rFonts w:ascii="Tempora LGC Uni" w:hAnsi="Tempora LGC Uni"/>
          <w:b/>
          <w:bCs/>
          <w:sz w:val="28"/>
          <w:szCs w:val="28"/>
        </w:rPr>
        <w:t>Порядок предоставле</w:t>
      </w:r>
      <w:r>
        <w:rPr>
          <w:rFonts w:ascii="Tempora LGC Uni" w:hAnsi="Tempora LGC Uni"/>
          <w:b/>
          <w:bCs/>
          <w:sz w:val="28"/>
          <w:szCs w:val="28"/>
        </w:rPr>
        <w:t>ни</w:t>
      </w:r>
      <w:r>
        <w:rPr>
          <w:rFonts w:ascii="Tempora LGC Uni" w:hAnsi="Tempora LGC Uni"/>
          <w:b/>
          <w:bCs/>
          <w:sz w:val="28"/>
          <w:szCs w:val="28"/>
        </w:rPr>
        <w:t xml:space="preserve">я мер </w:t>
      </w:r>
      <w:r>
        <w:rPr>
          <w:rFonts w:ascii="Tempora LGC Uni" w:hAnsi="Tempora LGC Uni"/>
          <w:b/>
          <w:bCs/>
          <w:sz w:val="28"/>
          <w:szCs w:val="28"/>
        </w:rPr>
        <w:t>п</w:t>
      </w:r>
      <w:r>
        <w:rPr>
          <w:rFonts w:ascii="Tempora LGC Uni" w:hAnsi="Tempora LGC Uni"/>
          <w:b/>
          <w:bCs/>
          <w:sz w:val="28"/>
          <w:szCs w:val="28"/>
        </w:rPr>
        <w:t>оддержк</w:t>
      </w:r>
      <w:r>
        <w:rPr>
          <w:rFonts w:ascii="Tempora LGC Uni" w:hAnsi="Tempora LGC Uni"/>
          <w:b/>
          <w:bCs/>
          <w:sz w:val="28"/>
          <w:szCs w:val="28"/>
        </w:rPr>
        <w:t>и</w:t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 </w:t>
      </w:r>
      <w:r>
        <w:rPr>
          <w:rFonts w:ascii="Tempora LGC Uni" w:hAnsi="Tempora LGC Uni"/>
          <w:b/>
          <w:bCs/>
          <w:sz w:val="28"/>
          <w:szCs w:val="28"/>
        </w:rPr>
        <w:t xml:space="preserve">участникам CBO </w:t>
      </w:r>
      <w:r>
        <w:rPr>
          <w:rFonts w:ascii="Tempora LGC Uni" w:hAnsi="Tempora LGC Uni"/>
          <w:b/>
          <w:bCs/>
          <w:sz w:val="28"/>
          <w:szCs w:val="28"/>
        </w:rPr>
        <w:t xml:space="preserve">и </w:t>
      </w:r>
      <w:r>
        <w:rPr>
          <w:rFonts w:ascii="Tempora LGC Uni" w:hAnsi="Tempora LGC Uni"/>
          <w:b/>
          <w:bCs/>
          <w:sz w:val="28"/>
          <w:szCs w:val="28"/>
        </w:rPr>
        <w:t>чле</w:t>
      </w:r>
      <w:r>
        <w:rPr>
          <w:rFonts w:ascii="Tempora LGC Uni" w:hAnsi="Tempora LGC Uni"/>
          <w:b/>
          <w:bCs/>
          <w:sz w:val="28"/>
          <w:szCs w:val="28"/>
        </w:rPr>
        <w:t>н</w:t>
      </w:r>
      <w:r>
        <w:rPr>
          <w:rFonts w:ascii="Tempora LGC Uni" w:hAnsi="Tempora LGC Uni"/>
          <w:b/>
          <w:bCs/>
          <w:sz w:val="28"/>
          <w:szCs w:val="28"/>
        </w:rPr>
        <w:t>ам их семей</w:t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</w:r>
      <w:r>
        <w:rPr>
          <w:rFonts w:ascii="Tempora LGC Uni" w:hAnsi="Tempora LGC Uni"/>
          <w:sz w:val="28"/>
          <w:szCs w:val="28"/>
        </w:rPr>
        <w:t xml:space="preserve">6.1 </w:t>
      </w:r>
      <w:r>
        <w:rPr>
          <w:rFonts w:ascii="Tempora LGC Uni" w:hAnsi="Tempora LGC Uni"/>
          <w:sz w:val="28"/>
          <w:szCs w:val="28"/>
        </w:rPr>
        <w:t xml:space="preserve">Порядок предоставления мер поддержки участникам CBO и </w:t>
      </w:r>
      <w:r>
        <w:rPr>
          <w:rFonts w:ascii="Tempora LGC Uni" w:hAnsi="Tempora LGC Uni"/>
          <w:sz w:val="28"/>
          <w:szCs w:val="28"/>
        </w:rPr>
        <w:t>членам</w:t>
      </w:r>
      <w:r>
        <w:rPr>
          <w:rFonts w:ascii="Tempora LGC Uni" w:hAnsi="Tempora LGC Uni"/>
          <w:sz w:val="28"/>
          <w:szCs w:val="28"/>
        </w:rPr>
        <w:t xml:space="preserve">   их семей определяет правила и условия льготного посещения учреждений культуры </w:t>
      </w:r>
      <w:r>
        <w:rPr>
          <w:rFonts w:ascii="Tempora LGC Uni" w:hAnsi="Tempora LGC Uni"/>
          <w:sz w:val="28"/>
          <w:szCs w:val="28"/>
        </w:rPr>
        <w:t>Губкинского городского округа</w:t>
      </w:r>
      <w:r>
        <w:rPr>
          <w:rFonts w:ascii="Tempora LGC Uni" w:hAnsi="Tempora LGC Uni"/>
          <w:sz w:val="28"/>
          <w:szCs w:val="28"/>
        </w:rPr>
        <w:t xml:space="preserve"> участниками CBO и </w:t>
      </w:r>
      <w:r>
        <w:rPr>
          <w:rFonts w:ascii="Tempora LGC Uni" w:hAnsi="Tempora LGC Uni"/>
          <w:sz w:val="28"/>
          <w:szCs w:val="28"/>
        </w:rPr>
        <w:t xml:space="preserve">членами              </w:t>
      </w:r>
      <w:r>
        <w:rPr>
          <w:rFonts w:ascii="Tempora LGC Uni" w:hAnsi="Tempora LGC Uni"/>
          <w:sz w:val="28"/>
          <w:szCs w:val="28"/>
        </w:rPr>
        <w:t>их семей, указанными в пункте 6.2 настоя</w:t>
      </w:r>
      <w:r>
        <w:rPr>
          <w:rFonts w:ascii="Tempora LGC Uni" w:hAnsi="Tempora LGC Uni"/>
          <w:sz w:val="28"/>
          <w:szCs w:val="28"/>
        </w:rPr>
        <w:t>щ</w:t>
      </w:r>
      <w:r>
        <w:rPr>
          <w:rFonts w:ascii="Tempora LGC Uni" w:hAnsi="Tempora LGC Uni"/>
          <w:sz w:val="28"/>
          <w:szCs w:val="28"/>
        </w:rPr>
        <w:t>его раздела, в соответствии               с постановле</w:t>
      </w:r>
      <w:r>
        <w:rPr>
          <w:rFonts w:ascii="Tempora LGC Uni" w:hAnsi="Tempora LGC Uni"/>
          <w:sz w:val="28"/>
          <w:szCs w:val="28"/>
        </w:rPr>
        <w:t>нием</w:t>
      </w:r>
      <w:r>
        <w:rPr>
          <w:rFonts w:ascii="Tempora LGC Uni" w:hAnsi="Tempora LGC Uni"/>
          <w:sz w:val="28"/>
          <w:szCs w:val="28"/>
        </w:rPr>
        <w:t xml:space="preserve"> Прав</w:t>
      </w:r>
      <w:r>
        <w:rPr>
          <w:rFonts w:ascii="Tempora LGC Uni" w:hAnsi="Tempora LGC Uni"/>
          <w:sz w:val="28"/>
          <w:szCs w:val="28"/>
        </w:rPr>
        <w:t>ите</w:t>
      </w:r>
      <w:r>
        <w:rPr>
          <w:rFonts w:ascii="Tempora LGC Uni" w:hAnsi="Tempora LGC Uni"/>
          <w:sz w:val="28"/>
          <w:szCs w:val="28"/>
        </w:rPr>
        <w:t>льства Белгородской области от 29 июля 2024 года  № 341-пп «О дополнительных направлениях мер поддержки участников специальной военной опера</w:t>
      </w:r>
      <w:r>
        <w:rPr>
          <w:rFonts w:ascii="Tempora LGC Uni" w:hAnsi="Tempora LGC Uni"/>
          <w:sz w:val="28"/>
          <w:szCs w:val="28"/>
        </w:rPr>
        <w:t>ци</w:t>
      </w:r>
      <w:r>
        <w:rPr>
          <w:rFonts w:ascii="Tempora LGC Uni" w:hAnsi="Tempora LGC Uni"/>
          <w:sz w:val="28"/>
          <w:szCs w:val="28"/>
        </w:rPr>
        <w:t>и и членов их семей».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</w:r>
      <w:r>
        <w:rPr>
          <w:rFonts w:ascii="Tempora LGC Uni" w:hAnsi="Tempora LGC Uni"/>
          <w:sz w:val="28"/>
          <w:szCs w:val="28"/>
        </w:rPr>
        <w:t xml:space="preserve">6.2 </w:t>
      </w:r>
      <w:r>
        <w:rPr>
          <w:rFonts w:ascii="Tempora LGC Uni" w:hAnsi="Tempora LGC Uni"/>
          <w:sz w:val="28"/>
          <w:szCs w:val="28"/>
        </w:rPr>
        <w:t>К лицам, имеющи</w:t>
      </w:r>
      <w:r>
        <w:rPr>
          <w:rFonts w:ascii="Tempora LGC Uni" w:hAnsi="Tempora LGC Uni"/>
          <w:sz w:val="28"/>
          <w:szCs w:val="28"/>
        </w:rPr>
        <w:t>м</w:t>
      </w:r>
      <w:r>
        <w:rPr>
          <w:rFonts w:ascii="Tempora LGC Uni" w:hAnsi="Tempora LGC Uni"/>
          <w:sz w:val="28"/>
          <w:szCs w:val="28"/>
        </w:rPr>
        <w:t xml:space="preserve"> право на льготное посещение учреждений культуры Белгородской области, относятся:</w:t>
      </w:r>
    </w:p>
    <w:p>
      <w:pPr>
        <w:pStyle w:val="BodyText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участники CBO;</w:t>
      </w:r>
    </w:p>
    <w:p>
      <w:pPr>
        <w:pStyle w:val="BodyText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cyпpyra (супруг) участника CBO;</w:t>
      </w:r>
    </w:p>
    <w:p>
      <w:pPr>
        <w:pStyle w:val="BodyText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дети участника CBO, не достиг</w:t>
      </w:r>
      <w:r>
        <w:rPr>
          <w:rFonts w:ascii="Tempora LGC Uni" w:hAnsi="Tempora LGC Uni"/>
          <w:sz w:val="28"/>
          <w:szCs w:val="28"/>
        </w:rPr>
        <w:t>ш</w:t>
      </w:r>
      <w:r>
        <w:rPr>
          <w:rFonts w:ascii="Tempora LGC Uni" w:hAnsi="Tempora LGC Uni"/>
          <w:sz w:val="28"/>
          <w:szCs w:val="28"/>
        </w:rPr>
        <w:t>ие возраста 18 лет, а также обуча</w:t>
      </w:r>
      <w:r>
        <w:rPr>
          <w:rFonts w:ascii="Tempora LGC Uni" w:hAnsi="Tempora LGC Uni"/>
          <w:sz w:val="28"/>
          <w:szCs w:val="28"/>
        </w:rPr>
        <w:t>ющи</w:t>
      </w:r>
      <w:r>
        <w:rPr>
          <w:rFonts w:ascii="Tempora LGC Uni" w:hAnsi="Tempora LGC Uni"/>
          <w:sz w:val="28"/>
          <w:szCs w:val="28"/>
        </w:rPr>
        <w:t>еся               в образовательн</w:t>
      </w:r>
      <w:r>
        <w:rPr>
          <w:rFonts w:ascii="Tempora LGC Uni" w:hAnsi="Tempora LGC Uni"/>
          <w:sz w:val="28"/>
          <w:szCs w:val="28"/>
        </w:rPr>
        <w:t>ых</w:t>
      </w:r>
      <w:r>
        <w:rPr>
          <w:rFonts w:ascii="Tempora LGC Uni" w:hAnsi="Tempora LGC Uni"/>
          <w:sz w:val="28"/>
          <w:szCs w:val="28"/>
        </w:rPr>
        <w:t xml:space="preserve"> организаци</w:t>
      </w:r>
      <w:r>
        <w:rPr>
          <w:rFonts w:ascii="Tempora LGC Uni" w:hAnsi="Tempora LGC Uni"/>
          <w:sz w:val="28"/>
          <w:szCs w:val="28"/>
        </w:rPr>
        <w:t>ях</w:t>
      </w:r>
      <w:r>
        <w:rPr>
          <w:rFonts w:ascii="Tempora LGC Uni" w:hAnsi="Tempora LGC Uni"/>
          <w:sz w:val="28"/>
          <w:szCs w:val="28"/>
        </w:rPr>
        <w:t xml:space="preserve"> среднего общего, среднего профессионального или выс</w:t>
      </w:r>
      <w:r>
        <w:rPr>
          <w:rFonts w:ascii="Tempora LGC Uni" w:hAnsi="Tempora LGC Uni"/>
          <w:sz w:val="28"/>
          <w:szCs w:val="28"/>
        </w:rPr>
        <w:t>ш</w:t>
      </w:r>
      <w:r>
        <w:rPr>
          <w:rFonts w:ascii="Tempora LGC Uni" w:hAnsi="Tempora LGC Uni"/>
          <w:sz w:val="28"/>
          <w:szCs w:val="28"/>
        </w:rPr>
        <w:t>его образования по о</w:t>
      </w:r>
      <w:r>
        <w:rPr>
          <w:rFonts w:ascii="Tempora LGC Uni" w:hAnsi="Tempora LGC Uni"/>
          <w:sz w:val="28"/>
          <w:szCs w:val="28"/>
        </w:rPr>
        <w:t>чн</w:t>
      </w:r>
      <w:r>
        <w:rPr>
          <w:rFonts w:ascii="Tempora LGC Uni" w:hAnsi="Tempora LGC Uni"/>
          <w:sz w:val="28"/>
          <w:szCs w:val="28"/>
        </w:rPr>
        <w:t xml:space="preserve">ой форме обучения                до окончания обучения, но не более </w:t>
      </w:r>
      <w:r>
        <w:rPr>
          <w:rFonts w:ascii="Tempora LGC Uni" w:hAnsi="Tempora LGC Uni"/>
          <w:sz w:val="28"/>
          <w:szCs w:val="28"/>
        </w:rPr>
        <w:t>ч</w:t>
      </w:r>
      <w:r>
        <w:rPr>
          <w:rFonts w:ascii="Tempora LGC Uni" w:hAnsi="Tempora LGC Uni"/>
          <w:sz w:val="28"/>
          <w:szCs w:val="28"/>
        </w:rPr>
        <w:t>ем до достижения ими возраста 23 лет;</w:t>
      </w:r>
    </w:p>
    <w:p>
      <w:pPr>
        <w:pStyle w:val="BodyText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лица, наход</w:t>
      </w:r>
      <w:r>
        <w:rPr>
          <w:rFonts w:ascii="Tempora LGC Uni" w:hAnsi="Tempora LGC Uni"/>
          <w:sz w:val="28"/>
          <w:szCs w:val="28"/>
        </w:rPr>
        <w:t>ящи</w:t>
      </w:r>
      <w:r>
        <w:rPr>
          <w:rFonts w:ascii="Tempora LGC Uni" w:hAnsi="Tempora LGC Uni"/>
          <w:sz w:val="28"/>
          <w:szCs w:val="28"/>
        </w:rPr>
        <w:t>еся на иждивен</w:t>
      </w:r>
      <w:r>
        <w:rPr>
          <w:rFonts w:ascii="Tempora LGC Uni" w:hAnsi="Tempora LGC Uni"/>
          <w:sz w:val="28"/>
          <w:szCs w:val="28"/>
        </w:rPr>
        <w:t xml:space="preserve">ии </w:t>
      </w:r>
      <w:r>
        <w:rPr>
          <w:rFonts w:ascii="Tempora LGC Uni" w:hAnsi="Tempora LGC Uni"/>
          <w:sz w:val="28"/>
          <w:szCs w:val="28"/>
        </w:rPr>
        <w:t>участника CBO;</w:t>
      </w:r>
    </w:p>
    <w:p>
      <w:pPr>
        <w:pStyle w:val="BodyText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роди</w:t>
      </w:r>
      <w:r>
        <w:rPr>
          <w:rFonts w:ascii="Tempora LGC Uni" w:hAnsi="Tempora LGC Uni"/>
          <w:sz w:val="28"/>
          <w:szCs w:val="28"/>
        </w:rPr>
        <w:t>т</w:t>
      </w:r>
      <w:r>
        <w:rPr>
          <w:rFonts w:ascii="Tempora LGC Uni" w:hAnsi="Tempora LGC Uni"/>
          <w:sz w:val="28"/>
          <w:szCs w:val="28"/>
        </w:rPr>
        <w:t>ели участника CBO.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</w:r>
      <w:r>
        <w:rPr>
          <w:rFonts w:ascii="Tempora LGC Uni" w:hAnsi="Tempora LGC Uni"/>
          <w:sz w:val="28"/>
          <w:szCs w:val="28"/>
        </w:rPr>
        <w:t xml:space="preserve">6.3 </w:t>
      </w:r>
      <w:r>
        <w:rPr>
          <w:rFonts w:ascii="Tempora LGC Uni" w:hAnsi="Tempora LGC Uni"/>
          <w:sz w:val="28"/>
          <w:szCs w:val="28"/>
        </w:rPr>
        <w:t xml:space="preserve">При организации платных мероприятий (услуг) учреждениями культуры </w:t>
      </w:r>
      <w:r>
        <w:rPr>
          <w:rFonts w:ascii="Tempora LGC Uni" w:hAnsi="Tempora LGC Uni"/>
          <w:sz w:val="28"/>
          <w:szCs w:val="28"/>
        </w:rPr>
        <w:t>Губкинского городского округа</w:t>
      </w:r>
      <w:r>
        <w:rPr>
          <w:rFonts w:ascii="Tempora LGC Uni" w:hAnsi="Tempora LGC Uni"/>
          <w:sz w:val="28"/>
          <w:szCs w:val="28"/>
        </w:rPr>
        <w:t xml:space="preserve"> предоставляются следующие льготы: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посещение музеев — бесплатно;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посещение спектаклей — 50 процентов от полной стоимости билета (детям участников CBO до 18 лет — бесплатно);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посещение концертов, проводимых самодеятельными                                и профессиональн</w:t>
      </w:r>
      <w:r>
        <w:rPr>
          <w:rFonts w:ascii="Tempora LGC Uni" w:hAnsi="Tempora LGC Uni"/>
          <w:sz w:val="28"/>
          <w:szCs w:val="28"/>
        </w:rPr>
        <w:t>ы</w:t>
      </w:r>
      <w:r>
        <w:rPr>
          <w:rFonts w:ascii="Tempora LGC Uni" w:hAnsi="Tempora LGC Uni"/>
          <w:sz w:val="28"/>
          <w:szCs w:val="28"/>
        </w:rPr>
        <w:t>ми артистами и творческими коллективами — 50 процентов от полной стоимости билета (детям участников CBO до 18 лет — бесплатно);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- посещение культурно-досуговых мероприятий, занятия в </w:t>
      </w:r>
      <w:r>
        <w:rPr>
          <w:rFonts w:ascii="Tempora LGC Uni" w:hAnsi="Tempora LGC Uni"/>
          <w:sz w:val="28"/>
          <w:szCs w:val="28"/>
        </w:rPr>
        <w:t>клубных</w:t>
      </w:r>
      <w:r>
        <w:rPr>
          <w:rFonts w:ascii="Tempora LGC Uni" w:hAnsi="Tempora LGC Uni"/>
          <w:sz w:val="28"/>
          <w:szCs w:val="28"/>
        </w:rPr>
        <w:t xml:space="preserve"> формированиях — 50 процентов от полной стоимости билета (занятия) (детям участников CBO до 18 лет — бесплатно).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</w:r>
      <w:r>
        <w:rPr>
          <w:rFonts w:ascii="Tempora LGC Uni" w:hAnsi="Tempora LGC Uni"/>
          <w:sz w:val="28"/>
          <w:szCs w:val="28"/>
        </w:rPr>
        <w:t xml:space="preserve">6.4 </w:t>
      </w:r>
      <w:r>
        <w:rPr>
          <w:rFonts w:ascii="Tempora LGC Uni" w:hAnsi="Tempora LGC Uni"/>
          <w:sz w:val="28"/>
          <w:szCs w:val="28"/>
        </w:rPr>
        <w:t>Выдача льготных билетов осуществляется при личном обращении лиц, указанных в пункте 6.2 настоящего раздела, в учреждения культуры Белгородской области.</w:t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6.5 </w:t>
      </w:r>
      <w:r>
        <w:rPr>
          <w:rFonts w:ascii="Tempora LGC Uni" w:hAnsi="Tempora LGC Uni"/>
          <w:sz w:val="28"/>
          <w:szCs w:val="28"/>
        </w:rPr>
        <w:t>Для получения льготного билета лица, указанные в пункге 6.2 настоящего раздела, предъявляют следующие документы:</w:t>
      </w:r>
    </w:p>
    <w:p>
      <w:pPr>
        <w:pStyle w:val="BodyText"/>
        <w:numPr>
          <w:ilvl w:val="3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Паспорт гражданина Российской Федерации или иной документ, удостоверяющий личность;</w:t>
      </w:r>
    </w:p>
    <w:p>
      <w:pPr>
        <w:pStyle w:val="BodyText"/>
        <w:numPr>
          <w:ilvl w:val="3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Свидетельство о рождении ребенка.</w:t>
      </w:r>
    </w:p>
    <w:p>
      <w:pPr>
        <w:pStyle w:val="BodyText"/>
        <w:numPr>
          <w:ilvl w:val="3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- Документ, выданный уполномоченным органом, подтверждающий факт участия в CBO, в том </w:t>
      </w:r>
      <w:r>
        <w:rPr>
          <w:rFonts w:ascii="Tempora LGC Uni" w:hAnsi="Tempora LGC Uni"/>
          <w:sz w:val="28"/>
          <w:szCs w:val="28"/>
        </w:rPr>
        <w:t>ч</w:t>
      </w:r>
      <w:r>
        <w:rPr>
          <w:rFonts w:ascii="Tempora LGC Uni" w:hAnsi="Tempora LGC Uni"/>
          <w:sz w:val="28"/>
          <w:szCs w:val="28"/>
        </w:rPr>
        <w:t>исле справка военной части или военного комиссариата, выданная по рекомендуемому образцу для участников CBO;</w:t>
      </w:r>
    </w:p>
    <w:p>
      <w:pPr>
        <w:pStyle w:val="BodyText"/>
        <w:numPr>
          <w:ilvl w:val="3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Справка военной части или военного комиссариата, выданная                      по рекомендуемому образцу для членов семьи участников CBO;</w:t>
      </w:r>
    </w:p>
    <w:p>
      <w:pPr>
        <w:pStyle w:val="BodyText"/>
        <w:numPr>
          <w:ilvl w:val="3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- Удостоверение установленного образца для членов семей участников CBO, погибших при выполнении боевых задач в зоне CBO.</w:t>
      </w:r>
    </w:p>
    <w:p>
      <w:pPr>
        <w:pStyle w:val="BodyText"/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1"/>
          <w:numId w:val="2"/>
        </w:numPr>
        <w:spacing w:lineRule="auto" w:line="240" w:before="0" w:after="0"/>
        <w:contextualSpacing/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7. </w:t>
      </w:r>
      <w:r>
        <w:rPr>
          <w:rFonts w:ascii="Tempora LGC Uni" w:hAnsi="Tempora LGC Uni"/>
          <w:b/>
          <w:bCs/>
          <w:sz w:val="28"/>
          <w:szCs w:val="28"/>
        </w:rPr>
        <w:t>Заключительные положения</w:t>
      </w:r>
    </w:p>
    <w:p>
      <w:pPr>
        <w:pStyle w:val="BodyText"/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numPr>
          <w:ilvl w:val="2"/>
          <w:numId w:val="2"/>
        </w:numPr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</w:r>
      <w:r>
        <w:rPr>
          <w:rFonts w:ascii="Tempora LGC Uni" w:hAnsi="Tempora LGC Uni"/>
          <w:sz w:val="28"/>
          <w:szCs w:val="28"/>
        </w:rPr>
        <w:t xml:space="preserve">7.1 </w:t>
      </w:r>
      <w:r>
        <w:rPr>
          <w:rFonts w:ascii="Tempora LGC Uni" w:hAnsi="Tempora LGC Uni"/>
          <w:sz w:val="28"/>
          <w:szCs w:val="28"/>
        </w:rPr>
        <w:t xml:space="preserve">Финансирование расходов, связанных с льготным посещением платных мероприятий (получением услуг) учреждений культуры </w:t>
      </w:r>
      <w:r>
        <w:rPr>
          <w:rFonts w:ascii="Tempora LGC Uni" w:hAnsi="Tempora LGC Uni"/>
          <w:sz w:val="28"/>
          <w:szCs w:val="28"/>
        </w:rPr>
        <w:t>Губкинского городского округа</w:t>
      </w:r>
      <w:r>
        <w:rPr>
          <w:rFonts w:ascii="Tempora LGC Uni" w:hAnsi="Tempora LGC Uni"/>
          <w:sz w:val="28"/>
          <w:szCs w:val="28"/>
        </w:rPr>
        <w:t xml:space="preserve">, осуществляется в рамках исполнения </w:t>
      </w:r>
      <w:r>
        <w:rPr>
          <w:rFonts w:ascii="Tempora LGC Uni" w:hAnsi="Tempora LGC Uni"/>
          <w:sz w:val="28"/>
          <w:szCs w:val="28"/>
        </w:rPr>
        <w:t>муниципального</w:t>
      </w:r>
      <w:r>
        <w:rPr>
          <w:rFonts w:ascii="Tempora LGC Uni" w:hAnsi="Tempora LGC Uni"/>
          <w:sz w:val="28"/>
          <w:szCs w:val="28"/>
        </w:rPr>
        <w:t xml:space="preserve"> задания на оказание государственных услуг (выполнение  работ) на очередной финансовый год и плановый период.</w:t>
      </w:r>
    </w:p>
    <w:p>
      <w:pPr>
        <w:pStyle w:val="BodyText"/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BodyText"/>
        <w:spacing w:lineRule="auto" w:line="240" w:before="0" w:after="0"/>
        <w:contextualSpacing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Начальник управления культуры</w:t>
      </w:r>
      <w:r>
        <w:rPr>
          <w:rFonts w:ascii="Tempora LGC Uni" w:hAnsi="Tempora LGC Uni"/>
          <w:sz w:val="28"/>
          <w:szCs w:val="28"/>
        </w:rPr>
        <w:t xml:space="preserve">                                                  </w:t>
      </w:r>
      <w:r>
        <w:rPr>
          <w:rFonts w:ascii="Tempora LGC Uni" w:hAnsi="Tempora LGC Uni"/>
          <w:b/>
          <w:bCs/>
          <w:sz w:val="28"/>
          <w:szCs w:val="28"/>
        </w:rPr>
        <w:t>Л.Г. Фурсова</w:t>
      </w:r>
    </w:p>
    <w:sectPr>
      <w:headerReference w:type="default" r:id="rId2"/>
      <w:type w:val="nextPage"/>
      <w:pgSz w:w="11906" w:h="16838"/>
      <w:pgMar w:left="1701" w:right="567" w:gutter="0" w:header="1134" w:top="155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  <w:font w:name="Arial Narrow">
    <w:charset w:val="01"/>
    <w:family w:val="roman"/>
    <w:pitch w:val="variable"/>
  </w:font>
  <w:font w:name="Tempora LGC Uni">
    <w:charset w:val="01"/>
    <w:family w:val="auto"/>
    <w:pitch w:val="variable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032177341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6"/>
      <w:numFmt w:val="decimal"/>
      <w:lvlText w:val="%1.%2."/>
      <w:lvlJc w:val="left"/>
      <w:pPr>
        <w:tabs>
          <w:tab w:val="num" w:pos="0"/>
        </w:tabs>
        <w:ind w:left="1954" w:hanging="123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9" w:hanging="123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4" w:hanging="123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99" w:hanging="123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24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99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14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89" w:hanging="2160"/>
      </w:pPr>
      <w:rPr/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114" w:hanging="154"/>
      </w:pPr>
      <w:rPr>
        <w:rFonts w:ascii="Times New Roman" w:hAnsi="Times New Roman" w:cs="Times New Roman" w:hint="default"/>
        <w:sz w:val="28"/>
        <w:szCs w:val="28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6" w:hanging="15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73" w:hanging="15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50" w:hanging="15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7" w:hanging="15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04" w:hanging="15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1" w:hanging="15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58" w:hanging="15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5" w:hanging="154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3a9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qFormat/>
    <w:pPr>
      <w:spacing w:before="1" w:after="0"/>
      <w:ind w:hanging="260" w:left="1357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847c23"/>
    <w:rPr/>
  </w:style>
  <w:style w:type="character" w:styleId="Style14" w:customStyle="1">
    <w:name w:val="Нижний колонтитул Знак"/>
    <w:basedOn w:val="DefaultParagraphFont"/>
    <w:uiPriority w:val="99"/>
    <w:qFormat/>
    <w:rsid w:val="00847c23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4e4b23"/>
    <w:rPr>
      <w:rFonts w:ascii="Segoe UI" w:hAnsi="Segoe UI" w:cs="Segoe UI"/>
      <w:sz w:val="18"/>
      <w:szCs w:val="18"/>
    </w:rPr>
  </w:style>
  <w:style w:type="character" w:styleId="Style16">
    <w:name w:val="Основной шрифт абзаца"/>
    <w:qFormat/>
    <w:rPr/>
  </w:style>
  <w:style w:type="character" w:styleId="Style17">
    <w:name w:val="Символ нумерации"/>
    <w:qFormat/>
    <w:rPr/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99"/>
    <w:qFormat/>
    <w:rsid w:val="008e206c"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rsid w:val="0065309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4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4e4b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6227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DCA21-9590-44E1-908F-D8FC7D424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9340</TotalTime>
  <Application>LibreOffice/7.6.0.3$Linux_X86_64 LibreOffice_project/60$Build-3</Application>
  <AppVersion>15.0000</AppVersion>
  <Pages>8</Pages>
  <Words>632</Words>
  <Characters>4447</Characters>
  <CharactersWithSpaces>5328</CharactersWithSpaces>
  <Paragraphs>40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2020-04-16T06:53:00Z</dcterms:created>
  <dc:creator>культура1</dc:creator>
  <dc:description/>
  <dc:language>ru-RU</dc:language>
  <cp:lastModifiedBy/>
  <dcterms:modified xsi:type="dcterms:W3CDTF">2024-10-01T17:09:04Z</dcterms:modified>
  <cp:revision>180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