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color w:val="000000" w:themeColor="text1"/>
          <w:sz w:val="36"/>
          <w:szCs w:val="36"/>
        </w:rPr>
        <w:outlineLvl w:val="0"/>
      </w:pPr>
      <w:r>
        <w:rPr>
          <w:rFonts w:ascii="Times New Roman" w:hAnsi="Times New Roman" w:eastAsia="Times New Roman"/>
          <w:b/>
          <w:bCs/>
          <w:color w:val="000000" w:themeColor="text1"/>
          <w:sz w:val="36"/>
          <w:szCs w:val="36"/>
          <w:lang w:eastAsia="ru-RU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36"/>
          <w:szCs w:val="36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36"/>
          <w:szCs w:val="36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color w:val="000000" w:themeColor="text1"/>
          <w:sz w:val="16"/>
          <w:szCs w:val="16"/>
        </w:rPr>
        <w:outlineLvl w:val="0"/>
      </w:pPr>
      <w:r>
        <w:rPr>
          <w:rFonts w:ascii="Times New Roman" w:hAnsi="Times New Roman" w:eastAsia="Times New Roman"/>
          <w:b/>
          <w:color w:val="000000" w:themeColor="text1"/>
          <w:sz w:val="16"/>
          <w:szCs w:val="16"/>
          <w:lang w:eastAsia="ru-RU"/>
        </w:rPr>
      </w:r>
      <w:r>
        <w:rPr>
          <w:rFonts w:ascii="Times New Roman" w:hAnsi="Times New Roman" w:eastAsia="Times New Roman"/>
          <w:b/>
          <w:color w:val="000000" w:themeColor="text1"/>
          <w:sz w:val="16"/>
          <w:szCs w:val="16"/>
        </w:rPr>
      </w:r>
      <w:r>
        <w:rPr>
          <w:rFonts w:ascii="Times New Roman" w:hAnsi="Times New Roman" w:eastAsia="Times New Roman"/>
          <w:b/>
          <w:color w:val="000000" w:themeColor="text1"/>
          <w:sz w:val="16"/>
          <w:szCs w:val="16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color w:val="ffffff" w:themeColor="background1"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color w:val="ffffff" w:themeColor="background1"/>
          <w:sz w:val="20"/>
          <w:szCs w:val="20"/>
          <w:lang w:eastAsia="ru-RU"/>
        </w:rPr>
        <w:t xml:space="preserve">ГУБКИНСКИЙ ГОРОДСКОЙ ОКРУГ</w:t>
      </w:r>
      <w:r>
        <w:rPr>
          <w:rFonts w:ascii="Arial" w:hAnsi="Arial" w:eastAsia="Times New Roman" w:cs="Arial"/>
          <w:b/>
          <w:color w:val="ffffff" w:themeColor="background1"/>
          <w:sz w:val="20"/>
          <w:szCs w:val="20"/>
        </w:rPr>
      </w:r>
      <w:r>
        <w:rPr>
          <w:rFonts w:ascii="Arial" w:hAnsi="Arial" w:eastAsia="Times New Roman" w:cs="Arial"/>
          <w:b/>
          <w:color w:val="ffffff" w:themeColor="background1"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color w:val="ffffff" w:themeColor="background1"/>
          <w:sz w:val="20"/>
          <w:szCs w:val="20"/>
        </w:rPr>
      </w:pPr>
      <w:r>
        <w:rPr>
          <w:rFonts w:ascii="Arial" w:hAnsi="Arial" w:eastAsia="Times New Roman" w:cs="Arial"/>
          <w:b/>
          <w:color w:val="ffffff" w:themeColor="background1"/>
          <w:sz w:val="20"/>
          <w:szCs w:val="20"/>
          <w:lang w:eastAsia="ru-RU"/>
        </w:rPr>
        <w:t xml:space="preserve">БЕЛГОРОДСКОЙ ОБЛАСТИ</w:t>
      </w:r>
      <w:r>
        <w:rPr>
          <w:rFonts w:ascii="Arial" w:hAnsi="Arial" w:eastAsia="Times New Roman" w:cs="Arial"/>
          <w:color w:val="ffffff" w:themeColor="background1"/>
          <w:sz w:val="20"/>
          <w:szCs w:val="20"/>
        </w:rPr>
      </w:r>
      <w:r>
        <w:rPr>
          <w:rFonts w:ascii="Arial" w:hAnsi="Arial" w:eastAsia="Times New Roman" w:cs="Arial"/>
          <w:color w:val="ffffff" w:themeColor="background1"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color w:val="ffffff" w:themeColor="background1"/>
          <w:sz w:val="20"/>
          <w:szCs w:val="20"/>
        </w:rPr>
      </w:pPr>
      <w:r>
        <w:rPr>
          <w:rFonts w:ascii="Arial" w:hAnsi="Arial" w:eastAsia="Times New Roman" w:cs="Arial"/>
          <w:b/>
          <w:color w:val="ffffff" w:themeColor="background1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color w:val="ffffff" w:themeColor="background1"/>
          <w:sz w:val="20"/>
          <w:szCs w:val="20"/>
        </w:rPr>
      </w:r>
      <w:r>
        <w:rPr>
          <w:rFonts w:ascii="Arial" w:hAnsi="Arial" w:eastAsia="Times New Roman" w:cs="Arial"/>
          <w:b/>
          <w:color w:val="ffffff" w:themeColor="background1"/>
          <w:sz w:val="20"/>
          <w:szCs w:val="20"/>
        </w:rPr>
      </w:r>
    </w:p>
    <w:p>
      <w:pPr>
        <w:jc w:val="center"/>
        <w:spacing w:after="0" w:line="240" w:lineRule="auto"/>
        <w:rPr>
          <w:rFonts w:ascii="Arial Narrow" w:hAnsi="Arial Narrow" w:eastAsia="Times New Roman" w:cs="Arial"/>
          <w:b/>
          <w:color w:val="ffffff" w:themeColor="background1"/>
          <w:sz w:val="36"/>
          <w:szCs w:val="36"/>
        </w:rPr>
        <w:outlineLvl w:val="0"/>
      </w:pPr>
      <w:r>
        <w:rPr>
          <w:rFonts w:ascii="Arial Narrow" w:hAnsi="Arial Narrow" w:eastAsia="Times New Roman" w:cs="Arial"/>
          <w:b/>
          <w:color w:val="ffffff" w:themeColor="background1"/>
          <w:sz w:val="36"/>
          <w:szCs w:val="36"/>
          <w:lang w:eastAsia="ru-RU"/>
        </w:rPr>
        <w:t xml:space="preserve">АДМИНИСТРАЦИЯ ГУБКИНСКОГО ГОРОДСКОГО ОКРУГА</w:t>
      </w:r>
      <w:r>
        <w:rPr>
          <w:rFonts w:ascii="Arial Narrow" w:hAnsi="Arial Narrow" w:eastAsia="Times New Roman" w:cs="Arial"/>
          <w:b/>
          <w:color w:val="ffffff" w:themeColor="background1"/>
          <w:sz w:val="36"/>
          <w:szCs w:val="36"/>
        </w:rPr>
      </w:r>
      <w:r>
        <w:rPr>
          <w:rFonts w:ascii="Arial Narrow" w:hAnsi="Arial Narrow" w:eastAsia="Times New Roman" w:cs="Arial"/>
          <w:b/>
          <w:color w:val="ffffff" w:themeColor="background1"/>
          <w:sz w:val="36"/>
          <w:szCs w:val="36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color w:val="ffffff" w:themeColor="background1"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color w:val="ffffff" w:themeColor="background1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color w:val="ffffff" w:themeColor="background1"/>
          <w:sz w:val="20"/>
          <w:szCs w:val="20"/>
        </w:rPr>
      </w:r>
      <w:r>
        <w:rPr>
          <w:rFonts w:ascii="Arial" w:hAnsi="Arial" w:eastAsia="Times New Roman" w:cs="Arial"/>
          <w:b/>
          <w:color w:val="ffffff" w:themeColor="background1"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color w:val="ffffff" w:themeColor="background1"/>
          <w:sz w:val="32"/>
          <w:szCs w:val="32"/>
        </w:rPr>
        <w:outlineLvl w:val="0"/>
      </w:pPr>
      <w:r>
        <w:rPr>
          <w:rFonts w:ascii="Arial" w:hAnsi="Arial" w:eastAsia="Times New Roman" w:cs="Arial"/>
          <w:color w:val="ffffff" w:themeColor="background1"/>
          <w:sz w:val="32"/>
          <w:szCs w:val="32"/>
          <w:lang w:eastAsia="ru-RU"/>
        </w:rPr>
        <w:t xml:space="preserve">П О С Т А Н О В Л Е Н И Е</w:t>
      </w:r>
      <w:r>
        <w:rPr>
          <w:rFonts w:ascii="Arial" w:hAnsi="Arial" w:eastAsia="Times New Roman" w:cs="Arial"/>
          <w:color w:val="ffffff" w:themeColor="background1"/>
          <w:sz w:val="32"/>
          <w:szCs w:val="32"/>
        </w:rPr>
      </w:r>
      <w:r>
        <w:rPr>
          <w:rFonts w:ascii="Arial" w:hAnsi="Arial" w:eastAsia="Times New Roman" w:cs="Arial"/>
          <w:color w:val="ffffff" w:themeColor="background1"/>
          <w:sz w:val="32"/>
          <w:szCs w:val="32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color w:val="ffffff" w:themeColor="background1"/>
          <w:sz w:val="20"/>
          <w:szCs w:val="20"/>
        </w:rPr>
      </w:pPr>
      <w:r>
        <w:rPr>
          <w:rFonts w:ascii="Arial" w:hAnsi="Arial" w:eastAsia="Times New Roman" w:cs="Arial"/>
          <w:b/>
          <w:color w:val="ffffff" w:themeColor="background1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color w:val="ffffff" w:themeColor="background1"/>
          <w:sz w:val="20"/>
          <w:szCs w:val="20"/>
        </w:rPr>
      </w:r>
      <w:r>
        <w:rPr>
          <w:rFonts w:ascii="Arial" w:hAnsi="Arial" w:eastAsia="Times New Roman" w:cs="Arial"/>
          <w:b/>
          <w:color w:val="ffffff" w:themeColor="background1"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color w:val="ffffff" w:themeColor="background1"/>
          <w:sz w:val="17"/>
          <w:szCs w:val="17"/>
        </w:rPr>
      </w:pPr>
      <w:r>
        <w:rPr>
          <w:rFonts w:ascii="Arial" w:hAnsi="Arial" w:eastAsia="Times New Roman" w:cs="Arial"/>
          <w:b/>
          <w:color w:val="ffffff" w:themeColor="background1"/>
          <w:sz w:val="17"/>
          <w:szCs w:val="17"/>
          <w:lang w:eastAsia="ru-RU"/>
        </w:rPr>
        <w:t xml:space="preserve">Губкин</w:t>
      </w:r>
      <w:bookmarkStart w:id="0" w:name="_GoBack"/>
      <w:r>
        <w:rPr>
          <w:color w:val="ffffff" w:themeColor="background1"/>
        </w:rPr>
      </w:r>
      <w:bookmarkEnd w:id="0"/>
      <w:r>
        <w:rPr>
          <w:rFonts w:ascii="Arial" w:hAnsi="Arial" w:eastAsia="Times New Roman" w:cs="Arial"/>
          <w:b/>
          <w:color w:val="ffffff" w:themeColor="background1"/>
          <w:sz w:val="17"/>
          <w:szCs w:val="17"/>
        </w:rPr>
      </w:r>
      <w:r>
        <w:rPr>
          <w:rFonts w:ascii="Arial" w:hAnsi="Arial" w:eastAsia="Times New Roman" w:cs="Arial"/>
          <w:b/>
          <w:color w:val="ffffff" w:themeColor="background1"/>
          <w:sz w:val="17"/>
          <w:szCs w:val="17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color w:val="ffffff" w:themeColor="background1"/>
          <w:sz w:val="20"/>
          <w:szCs w:val="20"/>
        </w:rPr>
      </w:pPr>
      <w:r>
        <w:rPr>
          <w:rFonts w:ascii="Arial" w:hAnsi="Arial" w:eastAsia="Times New Roman" w:cs="Arial"/>
          <w:b/>
          <w:color w:val="ffffff" w:themeColor="background1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color w:val="ffffff" w:themeColor="background1"/>
          <w:sz w:val="20"/>
          <w:szCs w:val="20"/>
        </w:rPr>
      </w:r>
      <w:r>
        <w:rPr>
          <w:rFonts w:ascii="Arial" w:hAnsi="Arial" w:eastAsia="Times New Roman" w:cs="Arial"/>
          <w:b/>
          <w:color w:val="ffffff" w:themeColor="background1"/>
          <w:sz w:val="20"/>
          <w:szCs w:val="20"/>
        </w:rPr>
      </w:r>
    </w:p>
    <w:p>
      <w:pPr>
        <w:spacing w:after="0" w:line="240" w:lineRule="auto"/>
        <w:rPr>
          <w:color w:val="ffffff" w:themeColor="background1"/>
          <w:sz w:val="28"/>
          <w:szCs w:val="32"/>
        </w:rPr>
      </w:pPr>
      <w:r>
        <w:rPr>
          <w:rFonts w:ascii="Arial" w:hAnsi="Arial" w:eastAsia="Times New Roman" w:cs="Arial"/>
          <w:b/>
          <w:color w:val="ffffff" w:themeColor="background1"/>
          <w:sz w:val="18"/>
          <w:szCs w:val="18"/>
          <w:lang w:eastAsia="ru-RU"/>
        </w:rPr>
        <w:t xml:space="preserve">“________” _____________________ 2024 г.                              </w:t>
      </w:r>
      <w:r>
        <w:rPr>
          <w:rFonts w:ascii="Arial" w:hAnsi="Arial" w:eastAsia="Times New Roman" w:cs="Arial"/>
          <w:b/>
          <w:color w:val="ffffff" w:themeColor="background1"/>
          <w:sz w:val="18"/>
          <w:szCs w:val="18"/>
          <w:lang w:eastAsia="ru-RU"/>
        </w:rPr>
        <w:tab/>
      </w:r>
      <w:r>
        <w:rPr>
          <w:rFonts w:ascii="Arial" w:hAnsi="Arial" w:eastAsia="Times New Roman" w:cs="Arial"/>
          <w:b/>
          <w:color w:val="ffffff" w:themeColor="background1"/>
          <w:sz w:val="18"/>
          <w:szCs w:val="18"/>
          <w:lang w:eastAsia="ru-RU"/>
        </w:rPr>
        <w:tab/>
      </w:r>
      <w:r>
        <w:rPr>
          <w:rFonts w:ascii="Arial" w:hAnsi="Arial" w:eastAsia="Times New Roman" w:cs="Arial"/>
          <w:b/>
          <w:color w:val="ffffff" w:themeColor="background1"/>
          <w:sz w:val="18"/>
          <w:szCs w:val="18"/>
          <w:lang w:eastAsia="ru-RU"/>
        </w:rPr>
        <w:tab/>
        <w:t xml:space="preserve">                       № ___________</w:t>
      </w:r>
      <w:r>
        <w:rPr>
          <w:color w:val="ffffff" w:themeColor="background1"/>
          <w:sz w:val="28"/>
          <w:szCs w:val="32"/>
        </w:rPr>
      </w:r>
      <w:r>
        <w:rPr>
          <w:color w:val="ffffff" w:themeColor="background1"/>
          <w:sz w:val="28"/>
          <w:szCs w:val="32"/>
        </w:rPr>
      </w:r>
    </w:p>
    <w:p>
      <w:pPr>
        <w:jc w:val="both"/>
        <w:spacing w:after="0" w:line="240" w:lineRule="auto"/>
        <w:rPr>
          <w:color w:val="ffffff" w:themeColor="background1"/>
          <w:sz w:val="28"/>
          <w:szCs w:val="32"/>
        </w:rPr>
      </w:pPr>
      <w:r>
        <w:rPr>
          <w:color w:val="ffffff" w:themeColor="background1"/>
          <w:sz w:val="28"/>
          <w:szCs w:val="32"/>
        </w:rPr>
      </w:r>
      <w:r>
        <w:rPr>
          <w:color w:val="ffffff" w:themeColor="background1"/>
          <w:sz w:val="28"/>
          <w:szCs w:val="32"/>
        </w:rPr>
      </w:r>
      <w:r>
        <w:rPr>
          <w:color w:val="ffffff" w:themeColor="background1"/>
          <w:sz w:val="28"/>
          <w:szCs w:val="32"/>
        </w:rPr>
      </w:r>
    </w:p>
    <w:p>
      <w:pPr>
        <w:jc w:val="both"/>
        <w:spacing w:after="0" w:line="240" w:lineRule="auto"/>
        <w:rPr>
          <w:color w:val="ffffff" w:themeColor="background1"/>
          <w:sz w:val="28"/>
          <w:szCs w:val="32"/>
        </w:rPr>
      </w:pPr>
      <w:r>
        <w:rPr>
          <w:color w:val="ffffff" w:themeColor="background1"/>
          <w:sz w:val="28"/>
          <w:szCs w:val="32"/>
        </w:rPr>
      </w:r>
      <w:r>
        <w:rPr>
          <w:color w:val="ffffff" w:themeColor="background1"/>
          <w:sz w:val="28"/>
          <w:szCs w:val="32"/>
        </w:rPr>
      </w:r>
      <w:r>
        <w:rPr>
          <w:color w:val="ffffff" w:themeColor="background1"/>
          <w:sz w:val="28"/>
          <w:szCs w:val="32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муниципальной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программы </w:t>
      </w:r>
      <w:r>
        <w:rPr>
          <w:rFonts w:ascii="Times New Roman" w:hAnsi="Times New Roman"/>
          <w:b/>
          <w:sz w:val="28"/>
          <w:szCs w:val="28"/>
        </w:rPr>
        <w:t xml:space="preserve">«Развитие физической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культуры </w:t>
      </w:r>
      <w:r>
        <w:rPr>
          <w:rFonts w:ascii="Times New Roman" w:hAnsi="Times New Roman"/>
          <w:b/>
          <w:sz w:val="28"/>
          <w:szCs w:val="28"/>
        </w:rPr>
        <w:t xml:space="preserve">и спорта </w:t>
      </w:r>
      <w:r>
        <w:rPr>
          <w:rFonts w:ascii="Times New Roman" w:hAnsi="Times New Roman"/>
          <w:b/>
          <w:sz w:val="28"/>
          <w:szCs w:val="28"/>
        </w:rPr>
        <w:t xml:space="preserve">в Губкинском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городском </w:t>
      </w:r>
      <w:r>
        <w:rPr>
          <w:rFonts w:ascii="Times New Roman" w:hAnsi="Times New Roman"/>
          <w:b/>
          <w:sz w:val="28"/>
          <w:szCs w:val="28"/>
        </w:rPr>
        <w:t xml:space="preserve">округе </w:t>
      </w:r>
      <w:r>
        <w:rPr>
          <w:rFonts w:ascii="Times New Roman" w:hAnsi="Times New Roman"/>
          <w:b/>
          <w:sz w:val="28"/>
          <w:szCs w:val="28"/>
        </w:rPr>
        <w:t xml:space="preserve">Белгородской области»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right="4534"/>
        <w:jc w:val="left"/>
        <w:spacing w:after="0" w:line="240" w:lineRule="auto"/>
        <w:widowControl w:val="off"/>
        <w:tabs>
          <w:tab w:val="left" w:pos="3060" w:leader="none"/>
          <w:tab w:val="left" w:pos="3119" w:leader="none"/>
          <w:tab w:val="left" w:pos="3240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jc w:val="left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92"/>
        <w:ind w:firstLine="709"/>
        <w:jc w:val="both"/>
        <w:spacing w:before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Указом Президента Российской Федерации от 07 мая 2024 года № 309-ФЗ </w:t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«О национальных целях развития Российской Федерации на пер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иод до 2030 года и на перспективу до 2036 года», постановлением Правительства Белгородской области от 25 декабря 2023 года № 788-пп 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Об утверждении государственной программы Белгородской области «Развитие физической культуры и спорта Белгородской области»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Уставом Губкинского городского округа Белгородской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постановлениями администрации Губкинского городского округа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от 31 октября 2024 года № 1379-па «О системе управления муниципальными программами Губкинского городского округа Белгородской области», от 08 ноября 2024 года № 1428-па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«Об утверждении Перечня муниципальных программ Губкинского городского округа Белгородской област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и»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Губкинского городского округа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ПОСТАНОВЛЯЕТ: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муниципальную программу Губкинского городского округа Белгородской области «Развитие физической культуры и спорта в Губкинском городском округе Белгородской области» (далее - Программа, прилагается).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13"/>
        </w:numPr>
        <w:ind w:left="0"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Управлению физической культуры и спорта обеспечить реализацию мероприятий Программы.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13"/>
        </w:numPr>
        <w:ind w:left="0"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Признать утратившими силу постановления администрации Губкинского городского округа: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10 октября 2013 года № 2455-па «О муниципальной программе «Развитие физической культуры и спорта в Губкинском городском округе на 2014-2016 годы»;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29 апреля 2014 года № 883-па «О внесении изменения </w:t>
        <w:br/>
        <w:t xml:space="preserve">в постановление администрации Губкинского городского округа от 10 октября 2013 года № 2455-па»;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19 августа 2014 года № 1875-па «О внесении изменений </w:t>
        <w:br/>
        <w:t xml:space="preserve">в постановление администрации Губкинского городского округа от 10 октября 2013 года № 2455-па»;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13 октября 2014 года № 2284-па «О внесении изменений </w:t>
        <w:br/>
        <w:t xml:space="preserve">в постановление администрации Губкинского городского округа от 10 октября 2013 года № 2455-па»;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26 марта 2015 года № 644-па «О внесении изменения в постановление администрации Губкинского городского округа от 10 октября 2013 года </w:t>
        <w:br/>
        <w:t xml:space="preserve">№ 2455-па»;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29 марта 2016 года № 563-па «О внесении изменения в постановление администрации Губкинского городского округа от 10 октября 2013 года </w:t>
        <w:br/>
        <w:t xml:space="preserve">№ 2455-па»;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- от 24 марта 2017 года № 455-па «О внесении изменения в постановление администрации Губкинского городского округа от 10 октября 2013 года </w:t>
        <w:br/>
        <w:t xml:space="preserve">№ 2455-па»;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28 декабря 2017 года № 2032-па «О внесении изменения </w:t>
        <w:br/>
        <w:t xml:space="preserve">в постановление администрации Губкинского городского округа от 10 октября 2013 года № 2455-па»;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27 декабря 2018 года № 2182-па «О внесении изменений </w:t>
        <w:br/>
        <w:t xml:space="preserve">в постановление администрации Губкинского городского округа от 10 октября 2013 года № 2455-па»;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25 декабря 2019 года № 2248-па «О внесении изменения </w:t>
        <w:br/>
        <w:t xml:space="preserve">в постановление администрации Губкинского городского округа от 10 октября 2013 года № 2455-па»;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27 марта 2020 года № 428-па «О внесении изменения в постановление администрации Губкинского городского округа от 10 октября 2013 года </w:t>
        <w:br/>
        <w:t xml:space="preserve">№ 2455-па»;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10 сентября 2020 года № 1246-па «О внесении изменений </w:t>
        <w:br/>
        <w:t xml:space="preserve">в постановление администрации Губкинского городского округа от 10 октября 2013 года № 2455-па»;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26 декабря 2020 года № 1953-па «О внесении изменений </w:t>
        <w:br/>
        <w:t xml:space="preserve">в постановление администрации Губкинского городского округа от 10 октября 2013 года № 2455-па»;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29 июня 2021 года № 958-па «О внесении изменения в постановление администрации Губкинского городского округа от 10 октября 2013 года </w:t>
        <w:br/>
        <w:t xml:space="preserve">№ 2455-па»;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27 декабря 2021 года № 2230-па «О внесении изменения </w:t>
        <w:br/>
        <w:t xml:space="preserve">в постановление администрации Губкинского городского округа от 10 октября 2013 года № 2455-па»;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17 июня 2022 года № 747-па «О внесении изменения в постановление администрации Губкинского городского округа от 10 октября 2013 года </w:t>
        <w:br/>
        <w:t xml:space="preserve">№ 2455-па»;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29 декабря 2022 года № 2680-па «О внесении изменения </w:t>
        <w:br/>
        <w:t xml:space="preserve">в постановление администрации Губкинского городского округа от 10 октября 2013 года № 2455-па»;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21 марта 2023 года № 386-па «О внесении изменения в постановление администрации Губкинского городского округа от 10 октября 2013 года </w:t>
        <w:br/>
        <w:t xml:space="preserve">№ 2455-па»;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06 июля 2023 года № 978-па «О внесении изменения в постановление администрации Губкинского городского округа от 10 октября 2013 года </w:t>
        <w:br/>
        <w:t xml:space="preserve">№ 2455-па»;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02 ноября 2023 года № 1546-па «О внесении изменения </w:t>
        <w:br/>
        <w:t xml:space="preserve">в постановление администрации Губкинского городского округа от 10 октября 2013 года № 2455-па»;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21 декабря 2023 года № 1818-па «О внесении изменения </w:t>
        <w:br/>
        <w:t xml:space="preserve">в постановление администрации Губкинского городского округа от 10 октября 2013 года № 2455-па»;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21 марта 2024 года № 346-па «О внесении изменения в постановление администрации Губкинского городского округа от 10 октября 2013 года </w:t>
        <w:br/>
        <w:t xml:space="preserve">№ 2455-па»;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21 июня 2024 года № 781-па «О внесении изменения в постановление администрации Губкинского городского округа от 10 октября 2013 года </w:t>
        <w:br/>
        <w:t xml:space="preserve">№ 2455-па»;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20 декабря 2024 года № 1618-па «О внесении изменения </w:t>
        <w:br/>
        <w:t xml:space="preserve">в постановление администрации Губкинского городского округа от 10 октября 2013 года № 2455-па».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4. Опубликовать постановление в средствах массовой информации.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Настоящее постановление вступает в силу с 01 января 2025 года.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6. Контроль за исполнением постановления возложить на заместителя главы администрации по социальному развитию Фарафонову Н.Н.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Глава администрации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Губкинского городского округа                                                     М.А. Лобазнов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5068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Приложение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УТВЕРЖДЕНА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постановлением администрации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Губкинского городского округа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от «___» _________ 2024 г.  № _______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  <w:t xml:space="preserve">Губкинского городского округа Белгородской области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«Развитие физической культуры и спорта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Губкинском городском округе Белгородской области»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Ответственный исполнитель:</w:t>
      </w:r>
      <w:r>
        <w:rPr>
          <w:rFonts w:ascii="Times New Roman" w:hAnsi="Times New Roman"/>
          <w:sz w:val="28"/>
          <w:szCs w:val="28"/>
        </w:rPr>
        <w:t xml:space="preserve"> управление физической культуры и спорта администрации Губкинского городского округа.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Руководитель:</w:t>
      </w:r>
      <w:r>
        <w:rPr>
          <w:rFonts w:ascii="Times New Roman" w:hAnsi="Times New Roman"/>
          <w:sz w:val="28"/>
          <w:szCs w:val="28"/>
        </w:rPr>
        <w:t xml:space="preserve"> начальник управления физической культуры и спорта Сарыгин Сергей Александрович.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Ответственный за разработку:</w:t>
      </w:r>
      <w:r>
        <w:rPr>
          <w:rFonts w:ascii="Times New Roman" w:hAnsi="Times New Roman"/>
          <w:sz w:val="28"/>
          <w:szCs w:val="28"/>
        </w:rPr>
        <w:t xml:space="preserve"> начальник управления физической культуры и спорта администрации Губкинского городского округа Сарыгин Сергей Александрович, 8 (47241) 5-55-57 </w:t>
      </w:r>
      <w:r>
        <w:rPr>
          <w:rFonts w:ascii="Times New Roman" w:hAnsi="Times New Roman"/>
          <w:sz w:val="28"/>
          <w:szCs w:val="28"/>
          <w:lang w:val="en-US"/>
        </w:rPr>
        <w:t xml:space="preserve">gubkinsport</w:t>
      </w:r>
      <w:r>
        <w:rPr>
          <w:rFonts w:ascii="Times New Roman" w:hAnsi="Times New Roman"/>
          <w:sz w:val="28"/>
          <w:szCs w:val="28"/>
        </w:rPr>
        <w:t xml:space="preserve">@</w:t>
      </w:r>
      <w:r>
        <w:rPr>
          <w:rFonts w:ascii="Times New Roman" w:hAnsi="Times New Roman"/>
          <w:sz w:val="28"/>
          <w:szCs w:val="28"/>
          <w:lang w:val="en-US"/>
        </w:rPr>
        <w:t xml:space="preserve">gu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lang w:val="en-US"/>
        </w:rPr>
        <w:t xml:space="preserve">belregion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lang w:val="en-US"/>
        </w:rPr>
        <w:t xml:space="preserve">ru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85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5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5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5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5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5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5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5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5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5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5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5"/>
        <w:jc w:val="lef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5"/>
        <w:jc w:val="lef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16"/>
          <w:lang w:val="en-US"/>
        </w:rPr>
        <w:t xml:space="preserve">I</w:t>
      </w:r>
      <w:r>
        <w:rPr>
          <w:rFonts w:ascii="Times New Roman" w:hAnsi="Times New Roman"/>
          <w:b/>
          <w:bCs/>
          <w:sz w:val="28"/>
          <w:szCs w:val="16"/>
        </w:rPr>
        <w:t xml:space="preserve">. Стратегические приоритеты муниципальной программы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  <w:t xml:space="preserve">Губкинского городского округа Белгородской области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 xml:space="preserve">«Развитие физической культуры и спорта </w:t>
      </w: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16"/>
        </w:rPr>
        <w:t xml:space="preserve">в Губкинском городском округе Белгородской области»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numPr>
          <w:ilvl w:val="1"/>
          <w:numId w:val="15"/>
        </w:num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Оценка текущего состояния развития физической культуры и спорта в Губкинском городском округе Белгородской области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</w:r>
      <w:r>
        <w:rPr>
          <w:rFonts w:ascii="Times New Roman" w:hAnsi="Times New Roman"/>
          <w:bCs/>
          <w:sz w:val="28"/>
          <w:szCs w:val="16"/>
        </w:rPr>
      </w:r>
      <w:r>
        <w:rPr>
          <w:rFonts w:ascii="Times New Roman" w:hAnsi="Times New Roman"/>
          <w:bCs/>
          <w:sz w:val="28"/>
          <w:szCs w:val="16"/>
        </w:rPr>
      </w:r>
    </w:p>
    <w:p>
      <w:pPr>
        <w:ind w:firstLine="709"/>
        <w:jc w:val="both"/>
        <w:spacing w:after="0"/>
        <w:widowControl w:val="off"/>
        <w:rPr>
          <w:rFonts w:ascii="Arial" w:hAnsi="Arial" w:eastAsia="Times New Roman" w:cs="Arial"/>
          <w:sz w:val="20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Стратегии социально-экономического развития Губкинского городского округа Белгородской области на период до 2025 года отмечается, что Губкинский городской округ занимает одно из лидирующих мест в Белгородской об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ласти по доле граждан, систематически занимающихся физической культурой и спортом, активно внедряются современные форматы вовлечения жителей в занятия физической культурой и спортом, в Губкинском городском округе активно развивается спорт высших достижений</w:t>
      </w:r>
      <w:r>
        <w:rPr>
          <w:rFonts w:ascii="Arial" w:hAnsi="Arial" w:eastAsia="Times New Roman" w:cs="Arial"/>
          <w:sz w:val="20"/>
          <w:lang w:eastAsia="ru-RU"/>
        </w:rPr>
        <w:t xml:space="preserve">.</w:t>
      </w:r>
      <w:r>
        <w:rPr>
          <w:rFonts w:ascii="Arial" w:hAnsi="Arial" w:eastAsia="Times New Roman" w:cs="Arial"/>
          <w:sz w:val="20"/>
          <w:lang w:eastAsia="ru-RU"/>
        </w:rPr>
      </w:r>
      <w:r>
        <w:rPr>
          <w:rFonts w:ascii="Arial" w:hAnsi="Arial" w:eastAsia="Times New Roman" w:cs="Arial"/>
          <w:sz w:val="20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 целью привлечения населения к систематическим занятиям фи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зической культурой в округе разработана и внедрена система проведения городских и сельских физкультурно-оздоровительных и спортивно-массовых мероприятий среди различных возрастных групп населения, которая осуществляется в соответствии с календарным планом.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Основными комплексными физкультурно-оздоровительными и спортивно-массовыми мероприятиями являются: Всероссийские спортивные соревнования школ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ьников «Президентские состязания» и Всероссийские спортивные игры школьников «Президентские спортивные игры»; Спартакиада среди трудовых коллективов Губкинского городского округа; Спартакиада среди лиц с ограниченными физическими возможностями; Универсиада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среди обучающихся на дневном отделении в учреждениях среднего и высшего профессионального образования г. Губкина под д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евизом «За здоровый образ жизни!»; Спартакиада допризывной и призывной молодежи; соревнования для детей и подростков на призы клубов «Кожаный мяч», «Колосок», «Белая ладья», «Золотая шайба»; соревнования «От значка ГТО - к олимпийской медали»; массовые спо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ртивные мероприятия, проводимые под девизом «Спорт против наркотиков»; сельские спортивные игры «Всем селом на стадион» и другие спортивно-массовые мероприятия. С ноября 2011 года стартовали первые зимние спартакиады сельских территориальных администраций.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 итогам 2023 года в Губкинском городском округе достигнуты следующие показатели по отрасли физической культуры и спорта: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1. Доля населения Губкинского городского округа, систематически занимающегося физической культурой и спортом в возрасте от 3 до 79 лет, достигла 57,5 %.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2. Доля детей и молодежи (в возрасте от 3 до 29 лет), систематически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занимающегося физической культурой и спортом достигла 98,5 %.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3. Доля граждан среднего возраста (женщины: 30 - 54 года; мужчины: 30 - 59 лет), систематически занимающихся физической культурой и спортом, достигла 53,0 %.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4. Доля граждан старшего возраста (женщины: 55 - 79 лет, мужчины: 60 - 70 лет), систематически занимающихся физической культурой и спортом, достигла 22,3 %.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5. Уровень обеспеченности граждан спортивными сооружениями, исходя из единовременной пропускной способности объектов спорта, достиг 69,5 %.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Для развития массового спорта функционируют: 6 спортивных организаций. Спортивная инфраструктура округа включает более 360 спортивных объ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ектов, из них самые масштабные: Дворец спорта «Кристалл», включающий в себя стадион, ледовую арену, универсальный спортивный зал, тренажерные залы. Спортивный комплекс «Горняк» имени А.А. Кретова со стадионом на 7 тысяч зрителей, легкоатлетическим манежем,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залами хореографии и фитнеса, стрелковый 50-ти метровый тир, тренажёрный зал. Плавательный бассейн «Дельфин», ФОК «Пульс», «Спортивная школа № 3» с универсальным спортивным залом, залами бокса, борьбы и хореографии, а также стадион «Труд».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Активно внедряются современные методы вовлечения граждан в занятия физической культурой и спортом. Одним из таких проектов является федеральный проект «Дворовой тренер». В реализации проекта было задействовано 30 площадок и 80 тренеров.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Значительное внимание уделяется развитию адаптивного спорта. Реализуются программы по четырем направлениям: спорт глухих, спорт ПОДА, спорт слепых, спорт ЛИН.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Губкинском городском округе активно развивается спорт высших достижений. К базовым видам спорта относятся: легкая атлетика, художественная гимнастика, бокс, волейбол, самбо, спорт лиц с поражением опорно-двигательного аппарата, пулевая стрельба, плавание.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Развивается система подготовки спортивного резерва для сборных команд России и Белгородской области. Ин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фраструктура подготовки спортивного резерва включает спортивную школу олимпийского резерва, спортивные школы № 1 и 3, Центр тестирования физкультурно-спортивного комплекса «Готов к труду и обороне» и развития массового спорта Губкинского городского округа.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2023 году на те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рритории Губкинского городского округа проведено 114 официальных спортивных мероприятий, включенных в календарный план, из них 7 по адаптивным видам спорта; 6 спортсменов, включены в списки кандидатов в сборные команды Российской Федерации; 99 спортсменов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включены в списки кандидатов в сборные команды Белгородской области.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Спортсмены Губкинского городского округа регулярно участвуют во всероссийских и международных соревнованиях: 14 спортсменов получили спортивный разряд «кандидат в мастера спорта России»; 3 спортсмена получили звание «мастера спорта России».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цел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ях поддержки наших спортсменов и тренеров второй год подряд производится поощрение лучших спортсменов. Так, именные стипендии главы администрации Губкинского городского округа по итогам 2022 - 2023 учебного года получили 20 спортсменов в номинации «Спорт».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Дей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ствует Всероссийский физкультурно-спортивный комплекс «Готов к труду и обороне» (ГТО) (далее - ВФСК ГТО) - программная и нормативная основа системы физического воспитания. По результатам ежеквартального мониторинга внедрения ВФСК ГТО, проводимого Министерс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твом спорта Белгородской области ежеквартально на протяжении 2023 года, Губкинский городской округ занимает 11 место. В Губкинском городском округе в сдаче нормативов ГТО приняли участие 8 347 человек, из них 6 498 получили знаки отличия различного уровня.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Вместе с тем сохраняется ряд проблем, требующих решения, в частности: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среди граждан, систематически занимающихся физической культурой и спортом,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преобладает городское население, преимущественно дети и молодежь в возрасте до 29 лет, 98,5 %. Сохраняется недостаточный уровень вовлеченности населения среднего и старшего возраста в занятия физической культурой и спортом - 53,0 % и 22,3 % соответственно;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отмечается недостаточность спортивной инфраструктуры, все более актуальной становится необходимость приведения объектов спорта в нормативное состояние;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необходимо стимулировать развитие инвестиционной привлекательности сферы физической культуры и спорта, в том числе развитие предпринимательства и развитие муниципально-частного партнерства.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Ключевыми вызовами для физической культуры и спорта являются: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возросшие требования к увеличению продолжительности социально и экономически активной жизни с учетом старения населения и низкой вовлеченности в занятия физической культурой и спортом средних и старших возрастных групп;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увеличение числа граждан, нуждающихся в оздоровлении средствами физической культуры и спорта, в том числе вследствие перенесенных заболеваний, вызванных новой коронавирусной инфекцией (COVID-19);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возросшие требования к уровню физической подготовленности допризывной молодежи как фактору обеспечения боеготовности вооруженных сил;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недостаточная ресурсная обеспеченность сферы физической культуры и спорта, в том числе системы профессионального образования;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сокращение реально располагаемых доходов, экономия граждан на занятиях физической культурой и спортом.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</w:r>
      <w:r>
        <w:rPr>
          <w:rFonts w:ascii="Times New Roman" w:hAnsi="Times New Roman"/>
          <w:bCs/>
          <w:sz w:val="28"/>
          <w:szCs w:val="16"/>
        </w:rPr>
      </w:r>
      <w:r>
        <w:rPr>
          <w:rFonts w:ascii="Times New Roman" w:hAnsi="Times New Roman"/>
          <w:bCs/>
          <w:sz w:val="28"/>
          <w:szCs w:val="16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 xml:space="preserve">1.2. Описание приоритетов и целей муниципальной политики в сфере реализации муниципальной программы</w:t>
      </w: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Стратегия социально-экономического развития Губкинского городского округа на период до 2025 года исходя из анализа проблем и вызовов в сфере развития физической культуры и спор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та целью развития округа по данному направлению обозначает создание современной доступной инфраструктуры, открытой сервисной и спортивно-событийной политики для вовлечения в занятия физической культурой и спортом всех жителей Губкинского городского округа.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соответствии с этим, приоритетами муниципальной программы Губкинского городского округа «Развитие физической культуры и спорта в Губкинском городском округе Белгородской области» являются: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1) развитие массового и адаптивного спорта в части обеспечения инфраструктурных и событийных возможностей беспрепятственного занятия физической культурой и спортом в шаговой доступности с учетом уровня физической подготовки жителей региона;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2) создание комплексной системы подготовки спортивного резерва для спорта высших достижений округа - развитие детско-юношеского спорта;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3) сохранение и усиление традиций спорта высших достижений - укрепление образа спортивного округа.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Основным приоритетом является обеспечение мероприятия для становления благоприятной социальной среды и создание условий для эффективной ре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ализации человеческого потенциала и обеспечения качества жизни населения на основе динамичного развития экономики округа, включая улучшение состояния здоровья населения, формирование здорового образа жизни, усиление массовости физической культуры и спорта.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Основные цели муниципальной программы Губкинского городского округа «Развитие физической культуры и спорта в Губкинском городском округе Белгородской области»: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1. Увеличение к 2030 году до 70 % доли населения Губкинского городского округа, систематически занимающегося физической культурой и спортом.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Достижение данных целей возможно при решении следующих задач: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создание для всех категорий и групп населения условия для занятий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физической культурой и спортом (новая модель спорта);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создание условий для привлечения к систематическим занятиям физической культурой и спортом не менее 73 % граждан трудоспособного возраста;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организация событийных спортивных мероприятий на территории Губкинского городского округа;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создание спортивной инфраструктуры и материально-технической базы для занятий физической культурой и спортом;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развитие инфраструктуры физической культуры и спорта, строительство спортивных объектов шаговой доступности и обеспечение доступности этих объектов для лиц с ограниченными возможностями здоровья и инвалидов;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развитие материально-технической базы спорта высших достижений для подготовки спортсменов, в том числе по наиболее массовым видам спорта, не включенным в программы Олимпийских и Паралимпийских игр;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создание условий для подготовки и совершенствования спортсменов и тренеров с учетом непрерывности процессов обучения и спортивной подготовки;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реализация основных направлений муниципальной политики Губкинского городского округа в целях создания благоприятных условий для устойчивого развития в сфере физической культуры и спорта.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Реализация муниципальной программы Губкинского городского округа «Развитие физической культуры и спорта в Губкинском городском округе Белгородской области» осуществляется с 2025 по 2030 годы.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/>
      <w:hyperlink w:tooltip="Сведения" w:anchor="P8350" w:history="1">
        <w:r>
          <w:rPr>
            <w:rFonts w:ascii="Times New Roman" w:hAnsi="Times New Roman" w:eastAsia="Times New Roman"/>
            <w:sz w:val="28"/>
            <w:szCs w:val="28"/>
            <w:lang w:eastAsia="ru-RU"/>
          </w:rPr>
          <w:t xml:space="preserve">Сведения</w:t>
        </w:r>
      </w:hyperlink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о порядке сбора информации и методике расчета показателей муниципальной программы Губкинского городского округа «Развитие физической культуры и спорта в Губкинском городском округе Белгородской области» представлены в приложении к муниципальной программе.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</w:r>
      <w:r>
        <w:rPr>
          <w:rFonts w:ascii="Times New Roman" w:hAnsi="Times New Roman"/>
          <w:bCs/>
          <w:sz w:val="28"/>
          <w:szCs w:val="16"/>
        </w:rPr>
      </w:r>
      <w:r>
        <w:rPr>
          <w:rFonts w:ascii="Times New Roman" w:hAnsi="Times New Roman"/>
          <w:bCs/>
          <w:sz w:val="28"/>
          <w:szCs w:val="16"/>
        </w:rPr>
      </w:r>
    </w:p>
    <w:p>
      <w:pPr>
        <w:ind w:firstLine="709"/>
        <w:jc w:val="both"/>
        <w:spacing w:after="0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 xml:space="preserve">1.3. Сведения о взаимосвязи со стратегическими приоритетами,</w:t>
      </w: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 xml:space="preserve">целями и показателями государственных программ</w:t>
      </w: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 xml:space="preserve">Белгородской области</w:t>
      </w: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</w:p>
    <w:p>
      <w:pPr>
        <w:pStyle w:val="985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Современное состояние физической культуры и спорта Белгородской области является результатом успешной реализации государственной политики в соответствии с указами Президента Российской Федерации и национальными приоритетами, </w:t>
      </w:r>
      <w:hyperlink r:id="rId15" w:tooltip="Распоряжение Правительства РФ от 24.11.2020 N 3081-р (ред. от 29.04.2023) &lt;Об утверждении Стратегии развития физической культуры и спорта в Российской Федерации на период до 2030 года&gt; {КонсультантПлюс}" w:history="1">
        <w:r>
          <w:rPr>
            <w:rFonts w:ascii="Times New Roman" w:hAnsi="Times New Roman" w:cs="Times New Roman"/>
            <w:sz w:val="28"/>
            <w:szCs w:val="28"/>
          </w:rPr>
          <w:t xml:space="preserve">Стратегией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развития физической культуры и спорта в Российской Федерации на период до 2030 года и на перспективу до 2036 года, утвержденной распоряжением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  <w:t xml:space="preserve">от 24 ноября 2020 года № 3081-р.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5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Губкинский городской округ вовлечен и активно участвует в реализации </w:t>
      </w:r>
      <w:r>
        <w:rPr>
          <w:rFonts w:ascii="Times New Roman" w:hAnsi="Times New Roman" w:cs="Times New Roman"/>
          <w:sz w:val="28"/>
          <w:szCs w:val="28"/>
        </w:rPr>
        <w:t xml:space="preserve">национальных целей Российской Федерации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«Сохранение населения, укрепление здоровья и повышение благополучия людей, поддержка семьи»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5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Губкинского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 «Развитие физической культуры и спорта в Губкинском городском округе Белгородской области»  непосредственно направлена на достижение национальной цели развития Российской Федерации на период до 2030 года и на перспективу до 2036 года </w:t>
      </w:r>
      <w:r>
        <w:rPr>
          <w:rFonts w:ascii="Times New Roman" w:hAnsi="Times New Roman"/>
          <w:color w:val="000000"/>
          <w:sz w:val="28"/>
          <w:szCs w:val="28"/>
        </w:rPr>
        <w:t xml:space="preserve">«Сохранение населения, укрепление здоровья и повышение благополучия людей, поддержка семьи»</w:t>
      </w:r>
      <w:r>
        <w:rPr>
          <w:rFonts w:ascii="Times New Roman" w:hAnsi="Times New Roman" w:cs="Times New Roman"/>
          <w:sz w:val="28"/>
          <w:szCs w:val="28"/>
        </w:rPr>
        <w:t xml:space="preserve">, определенной </w:t>
      </w:r>
      <w:hyperlink r:id="rId16" w:tooltip="Указ Президента РФ от 21.07.2020 N 474 &quot;О национальных целях развития Российской Федерации на период до 2030 года&quot; ------------ Утратил силу или отменен {КонсультантПлюс}" w:history="1">
        <w:r>
          <w:rPr>
            <w:rFonts w:ascii="Times New Roman" w:hAnsi="Times New Roman" w:cs="Times New Roman"/>
            <w:sz w:val="28"/>
            <w:szCs w:val="28"/>
          </w:rPr>
          <w:t xml:space="preserve">Указом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 мая 2024 года № 309 </w:t>
      </w:r>
      <w:r>
        <w:rPr>
          <w:rFonts w:ascii="Times New Roman" w:hAnsi="Times New Roman" w:cs="Times New Roman"/>
          <w:sz w:val="28"/>
          <w:szCs w:val="28"/>
        </w:rPr>
        <w:br/>
        <w:t xml:space="preserve">«О национальных целях развития Российской Федерации на период до 2030 года и на перспективу до 2036 года». Предусматривается увеличение к 2030 году до 70 </w:t>
      </w:r>
      <w:r>
        <w:rPr>
          <w:rFonts w:ascii="Times New Roman" w:hAnsi="Times New Roman"/>
          <w:sz w:val="28"/>
          <w:szCs w:val="28"/>
        </w:rPr>
        <w:t xml:space="preserve">%</w:t>
      </w:r>
      <w:r>
        <w:rPr>
          <w:rFonts w:ascii="Times New Roman" w:hAnsi="Times New Roman" w:cs="Times New Roman"/>
          <w:sz w:val="28"/>
          <w:szCs w:val="28"/>
        </w:rPr>
        <w:t xml:space="preserve"> доли населения Губкинского городского округа, систематически занимающего</w:t>
      </w:r>
      <w:r>
        <w:rPr>
          <w:rFonts w:ascii="Times New Roman" w:hAnsi="Times New Roman" w:cs="Times New Roman"/>
          <w:sz w:val="28"/>
          <w:szCs w:val="28"/>
        </w:rPr>
        <w:t xml:space="preserve">ся физической культурой и спортом, реализацию на территории Губкинского городского округа муниципальной программы Губкинского городского округа Белгородской области «Развитие физической культуры и спорта в Губкинском городском округе Белгородской области».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Стратегия социально-экономического развития Губкинского городского округа на период до 2025 года одним из семи ключевых стратегических приоритетов долгосрочного развития обозначает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«сохранение и укрепление здоровья населения, увеличение продолжительности активной жизни, создание условий для развития физкультуры и спорта»</w:t>
      </w:r>
      <w:r>
        <w:rPr>
          <w:rFonts w:ascii="Times New Roman" w:hAnsi="Times New Roman"/>
          <w:sz w:val="28"/>
          <w:szCs w:val="28"/>
        </w:rPr>
        <w:t xml:space="preserve">, составн</w:t>
      </w:r>
      <w:r>
        <w:rPr>
          <w:rFonts w:ascii="Times New Roman" w:hAnsi="Times New Roman"/>
          <w:sz w:val="28"/>
          <w:szCs w:val="28"/>
        </w:rPr>
        <w:t xml:space="preserve">ым элементом которого является развитие физической культуры и спорта Губкинского городского округа в части вовлечения граждан в массовый спорт, продвижения здорового образа жизни, развития спортивного резерва и укрепления традиций спорта высших достижений.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 xml:space="preserve">1.4. Задачи муниципального управления, способы</w:t>
      </w: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 xml:space="preserve">их эффективного решения в сфере реализации</w:t>
      </w:r>
      <w:r>
        <w:rPr>
          <w:rFonts w:ascii="Times New Roman" w:hAnsi="Times New Roman"/>
          <w:b/>
          <w:bCs/>
          <w:sz w:val="28"/>
          <w:szCs w:val="16"/>
        </w:rPr>
      </w:r>
      <w:r>
        <w:rPr>
          <w:rFonts w:ascii="Times New Roman" w:hAnsi="Times New Roman"/>
          <w:b/>
          <w:bCs/>
          <w:sz w:val="28"/>
          <w:szCs w:val="16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16"/>
        </w:rPr>
        <w:t xml:space="preserve">муниципальной программы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985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и задачами муниципальной программы Губкинского городского округа «Развитие физической культуры и спорта в Губкинском городском округе Белгородской области» до 2030 года обозначены: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5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Увеличение к 2030 году до 70 </w:t>
      </w:r>
      <w:r>
        <w:rPr>
          <w:rFonts w:ascii="Times New Roman" w:hAnsi="Times New Roman"/>
          <w:sz w:val="28"/>
          <w:szCs w:val="28"/>
        </w:rPr>
        <w:t xml:space="preserve">%</w:t>
      </w:r>
      <w:r>
        <w:rPr>
          <w:rFonts w:ascii="Times New Roman" w:hAnsi="Times New Roman" w:cs="Times New Roman"/>
          <w:sz w:val="28"/>
          <w:szCs w:val="28"/>
        </w:rPr>
        <w:t xml:space="preserve"> доли населения Губкинского городского округа, систематически занимающегося физической культурой и спортом.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5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Создание спортивной инфраструктуры и материально-технической базы для занятий физической культурой и спортом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5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Обеспечение деятельности (оказание услуг) муниципальных учреждений (организаций) в области физической культуры и спорта.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5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Организация событийных спортивных мероприятий на территории Губкинского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5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/>
          <w:color w:val="000000"/>
          <w:sz w:val="28"/>
          <w:szCs w:val="28"/>
        </w:rPr>
        <w:t xml:space="preserve">Исполнение функций органов местного самоуправления.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5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вышеизложенного, в логике реализации стратегических направлений, необходимости достижения поставленной цели и решения задач в сфере</w:t>
      </w:r>
      <w:r>
        <w:rPr>
          <w:rFonts w:ascii="Times New Roman" w:hAnsi="Times New Roman" w:cs="Times New Roman"/>
          <w:sz w:val="28"/>
          <w:szCs w:val="28"/>
        </w:rPr>
        <w:t xml:space="preserve"> развития физической культуры и спорта Губкинского городского округа, структура муниципальной программы Губкинского городского округа «Развитие физической культуры и спорта в Губкинском городском округе Белгородской области» включает следующие направления: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5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развитие физической культуры и массового спорта;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5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укрепление материально-технического обеспечения и развития физической культуры и массового спорта;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5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мероприятия по осуществлению спортивной подготовки;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5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обеспечение реализации муниципальной программы.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both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16"/>
        </w:rPr>
        <w:t xml:space="preserve">Начальник отдела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both"/>
        <w:spacing w:after="0"/>
        <w:rPr>
          <w:rFonts w:ascii="Times New Roman" w:hAnsi="Times New Roman"/>
          <w:b/>
          <w:bCs/>
          <w:sz w:val="28"/>
          <w:szCs w:val="28"/>
        </w:rPr>
        <w:sectPr>
          <w:headerReference w:type="default" r:id="rId9"/>
          <w:headerReference w:type="even" r:id="rId10"/>
          <w:headerReference w:type="first" r:id="rId11"/>
          <w:footerReference w:type="even" r:id="rId13"/>
          <w:footerReference w:type="first" r:id="rId14"/>
          <w:footnotePr/>
          <w:endnotePr/>
          <w:type w:val="nextPage"/>
          <w:pgSz w:w="11906" w:h="16838" w:orient="portrait"/>
          <w:pgMar w:top="-992" w:right="567" w:bottom="992" w:left="1701" w:header="0" w:footer="0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b/>
          <w:bCs/>
          <w:sz w:val="28"/>
          <w:szCs w:val="16"/>
        </w:rPr>
        <w:t xml:space="preserve">физической культуры и спорта                                                       С.А. Сарыгин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0772"/>
        <w:gridCol w:w="496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772" w:type="dxa"/>
            <w:textDirection w:val="lrTb"/>
            <w:noWrap w:val="false"/>
          </w:tcPr>
          <w:p>
            <w:pPr>
              <w:pStyle w:val="1016"/>
              <w:jc w:val="center"/>
              <w:rPr>
                <w:rFonts w:ascii="Times New Roman" w:hAnsi="Times New Roman" w:cs="Times New Roman"/>
                <w:sz w:val="28"/>
                <w:szCs w:val="28"/>
              </w:rPr>
              <w:outlineLvl w:val="1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61" w:type="dxa"/>
            <w:textDirection w:val="lrTb"/>
            <w:noWrap w:val="false"/>
          </w:tcPr>
          <w:p>
            <w:pPr>
              <w:pStyle w:val="1016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016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016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физической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016"/>
              <w:jc w:val="center"/>
              <w:rPr>
                <w:rFonts w:ascii="Times New Roman" w:hAnsi="Times New Roman" w:cs="Times New Roman"/>
                <w:sz w:val="28"/>
                <w:szCs w:val="28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Губкинском городском округе Белгородской области»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1016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6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II</w:t>
      </w:r>
      <w:r>
        <w:rPr>
          <w:rFonts w:ascii="Times New Roman" w:hAnsi="Times New Roman" w:cs="Times New Roman"/>
          <w:sz w:val="24"/>
          <w:szCs w:val="24"/>
        </w:rPr>
        <w:t xml:space="preserve">. Паспорт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Губкинского городского округа Белгородской области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«Развитие физической культуры и спорта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Губкинском городском округе Белгородской области»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(далее - муниципальная программа)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101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1. Основные положения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4536"/>
        <w:gridCol w:w="7827"/>
      </w:tblGrid>
      <w:tr>
        <w:tblPrEx/>
        <w:trPr>
          <w:cantSplit/>
          <w:trHeight w:val="447"/>
        </w:trPr>
        <w:tc>
          <w:tcPr>
            <w:tcW w:w="336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Куратор муниципальной программы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12363" w:type="dxa"/>
            <w:vAlign w:val="center"/>
            <w:textDirection w:val="lrTb"/>
            <w:noWrap/>
          </w:tcPr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Заместитель главы администрации по социальному развитию администрации Губкинского городского округа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336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муниципальной программы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12363" w:type="dxa"/>
            <w:vAlign w:val="center"/>
            <w:textDirection w:val="lrTb"/>
            <w:noWrap/>
          </w:tcPr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 </w:t>
            </w:r>
            <w:r>
              <w:rPr>
                <w:rFonts w:ascii="Times New Roman" w:hAnsi="Times New Roman" w:eastAsia="Arial Unicode MS" w:cs="Times New Roman"/>
              </w:rPr>
              <w:t xml:space="preserve">администрации Губкинского городского округа</w:t>
            </w:r>
            <w:r>
              <w:rPr>
                <w:rFonts w:ascii="Times New Roman" w:hAnsi="Times New Roman" w:cs="Times New Roman"/>
              </w:rPr>
              <w:t xml:space="preserve">, начальник </w:t>
            </w:r>
            <w:r>
              <w:rPr>
                <w:rFonts w:ascii="Times New Roman" w:hAnsi="Times New Roman"/>
              </w:rPr>
              <w:t xml:space="preserve">управления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 </w:t>
            </w:r>
            <w:r>
              <w:rPr>
                <w:rFonts w:ascii="Times New Roman" w:hAnsi="Times New Roman" w:eastAsia="Arial Unicode MS" w:cs="Times New Roman"/>
              </w:rPr>
              <w:t xml:space="preserve">администрации Губкинского городского округа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0"/>
        </w:trPr>
        <w:tc>
          <w:tcPr>
            <w:tcW w:w="336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Период реализации муниципальной программы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12363" w:type="dxa"/>
            <w:vAlign w:val="center"/>
            <w:textDirection w:val="lrTb"/>
            <w:noWrap/>
          </w:tcPr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2025 - 2030 годы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70"/>
        </w:trPr>
        <w:tc>
          <w:tcPr>
            <w:tcW w:w="336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Цель муниципальной программы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12363" w:type="dxa"/>
            <w:textDirection w:val="lrTb"/>
            <w:noWrap/>
          </w:tcPr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Увеличение к 2030 году до 70 % доли населения Губкинского городского округа, систематически занимающегося физической культурой и спортом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ffffff" w:fill="ffffff"/>
            <w:tcW w:w="336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Направления (подпрограммы) муниципальной программы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12363" w:type="dxa"/>
            <w:textDirection w:val="lrTb"/>
            <w:noWrap/>
          </w:tcPr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1. Направление (подпрограмма)</w:t>
            </w:r>
            <w:r>
              <w:rPr>
                <w:rFonts w:ascii="Times New Roman" w:hAnsi="Times New Roman" w:cs="Times New Roman"/>
              </w:rPr>
              <w:t xml:space="preserve"> 1 «Укрепление материально-технического обеспечения и развития физической культуры и массового спорта».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2. Направление (подпрограмма)</w:t>
            </w:r>
            <w:r>
              <w:rPr>
                <w:rFonts w:ascii="Times New Roman" w:hAnsi="Times New Roman" w:cs="Times New Roman"/>
              </w:rPr>
              <w:t xml:space="preserve"> 2 «Мероприятия по осуществлению спортивной подготовки».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3. Направление (подпрограмма)</w:t>
            </w:r>
            <w:r>
              <w:rPr>
                <w:rFonts w:ascii="Times New Roman" w:hAnsi="Times New Roman" w:cs="Times New Roman"/>
              </w:rPr>
              <w:t xml:space="preserve"> 3 «Развитие физической культуры и массового спорта».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85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</w:rPr>
              <w:t xml:space="preserve">4. Направление (подпрограмма)</w:t>
            </w:r>
            <w:r>
              <w:rPr>
                <w:rFonts w:ascii="Times New Roman" w:hAnsi="Times New Roman" w:cs="Times New Roman"/>
              </w:rPr>
              <w:t xml:space="preserve"> 4 «Обеспечение реализации муниципальной программы».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cantSplit/>
          <w:trHeight w:val="231"/>
        </w:trPr>
        <w:tc>
          <w:tcPr>
            <w:shd w:val="clear" w:color="ffffff" w:fill="ffffff"/>
            <w:tcW w:w="3369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Объемы финансового обеспечения за весь период реализации, в том числе по источникам финансирования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ffffff" w:fill="ffffff"/>
            <w:tcW w:w="12363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</w:rPr>
              <w:t xml:space="preserve">Всего по муниципальной программе 2 678 796,9  тыс. руб., в том числе: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18"/>
        </w:trPr>
        <w:tc>
          <w:tcPr>
            <w:shd w:val="clear" w:color="ffffff" w:fill="ffffff"/>
            <w:tcW w:w="3369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Источник финансового обеспечения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</w:tcBorders>
            <w:tcW w:w="78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Объем финансового обеспечения, тыс. рублей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shd w:val="clear" w:color="ffffff" w:fill="ffffff"/>
            <w:tcW w:w="3369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</w:tcBorders>
            <w:tcW w:w="4536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 w:eastAsia="Arial Unicode MS"/>
                <w:sz w:val="20"/>
                <w:szCs w:val="20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</w:tcBorders>
            <w:tcW w:w="78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1 692 877,0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shd w:val="clear" w:color="ffffff" w:fill="ffffff"/>
            <w:tcW w:w="3369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Arial Unicode MS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 w:eastAsia="Arial Unicode MS"/>
                <w:sz w:val="20"/>
                <w:szCs w:val="20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8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834 719,9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shd w:val="clear" w:color="ffffff" w:fill="ffffff"/>
            <w:tcW w:w="3369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Arial Unicode MS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 w:eastAsia="Arial Unicode MS"/>
                <w:sz w:val="20"/>
                <w:szCs w:val="20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8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shd w:val="clear" w:color="ffffff" w:fill="ffffff"/>
            <w:tcW w:w="3369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right w:val="single" w:color="000000" w:sz="4" w:space="0"/>
            </w:tcBorders>
            <w:tcW w:w="4536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Arial Unicode MS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 w:eastAsia="Arial Unicode MS"/>
                <w:sz w:val="20"/>
                <w:szCs w:val="20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78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151 200,0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336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Связь с национальными целями развития Российской Федерации / государственными программами Белгородской области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1236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Национальная цель «Сохранение населения, укрепление здоровья и повышение благополучия людей, поддержка семьи».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Показатель «Увеличение ожидаемой продолжительности жизни до 78 лет к 2030 году и до 81 года к 2036 году, в том числе опережающий рост показателей продолжительности здоровой жизни».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Государственная программа Белгородской области «Развитие физической культуры и спорта Белгородской области»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Показатель «Доля граждан, систематически занимающихся физической культурой и спортом».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336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Связь с целями развития Губкинского городского округа Белгородской области / стратегическими приоритетами (направлениями) Губкинского городского округа Белгородской области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12363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Первое стратегическое направление – «Развитие человеческого капитала Губкинского городского округа»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Стратегическая цель Губкинского городского округа «Улучшение демографической ситуации, совершенствование системы здравоохранения»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Приоритет «Сохранение и укрепление здоровья населения, увеличение продолжительности активной жизни, создание условий для развития физкультуры и спорта»</w:t>
            </w:r>
            <w:r>
              <w:rPr>
                <w:rFonts w:ascii="Times New Roman" w:hAnsi="Times New Roman" w:eastAsia="Times New Roman"/>
                <w:color w:val="0000ff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ff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ff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Показатель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Доля населения Губкинского городского округа, систематически занимающегося физической культурой и спортом в возрасте от 3 до 79 лет»</w:t>
            </w:r>
            <w:r>
              <w:rPr>
                <w:rFonts w:ascii="Times New Roman" w:hAnsi="Times New Roman" w:eastAsia="Times New Roman"/>
                <w:color w:val="0000ff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ff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</w:r>
      <w:r>
        <w:rPr>
          <w:rFonts w:ascii="Times New Roman" w:hAnsi="Times New Roman"/>
          <w:b/>
          <w:bCs/>
          <w:sz w:val="20"/>
          <w:szCs w:val="20"/>
        </w:rPr>
      </w:r>
      <w:r>
        <w:rPr>
          <w:rFonts w:ascii="Times New Roman" w:hAnsi="Times New Roman"/>
          <w:b/>
          <w:bCs/>
          <w:sz w:val="20"/>
          <w:szCs w:val="20"/>
        </w:rPr>
      </w:r>
    </w:p>
    <w:p>
      <w:pPr>
        <w:pStyle w:val="101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2. Показатели муниципальной программы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838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850"/>
        <w:gridCol w:w="850"/>
        <w:gridCol w:w="850"/>
        <w:gridCol w:w="709"/>
        <w:gridCol w:w="709"/>
        <w:gridCol w:w="567"/>
        <w:gridCol w:w="567"/>
        <w:gridCol w:w="567"/>
        <w:gridCol w:w="567"/>
        <w:gridCol w:w="567"/>
        <w:gridCol w:w="567"/>
        <w:gridCol w:w="1701"/>
        <w:gridCol w:w="1276"/>
        <w:gridCol w:w="1700"/>
        <w:gridCol w:w="1844"/>
      </w:tblGrid>
      <w:tr>
        <w:tblPrEx/>
        <w:trPr>
          <w:trHeight w:val="6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Единица измерения (по </w:t>
            </w:r>
            <w:hyperlink r:id="rId17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eastAsia="Times New Roman"/>
                  <w:b/>
                  <w:bCs/>
                  <w:sz w:val="16"/>
                  <w:szCs w:val="16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01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Значения показателя по годам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Документ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Связь с показателями национальных целей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Связь с показателями государственных программ Белгородской области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pStyle w:val="1016"/>
        <w:rPr>
          <w:rFonts w:ascii="Times New Roman" w:hAnsi="Times New Roman" w:cs="Times New Roman"/>
          <w:sz w:val="2"/>
          <w:szCs w:val="2"/>
        </w:rPr>
        <w:outlineLvl w:val="2"/>
      </w:pPr>
      <w:r>
        <w:rPr>
          <w:rFonts w:ascii="Times New Roman" w:hAnsi="Times New Roman" w:cs="Times New Roman"/>
          <w:sz w:val="2"/>
          <w:szCs w:val="2"/>
        </w:rPr>
      </w:r>
      <w:r>
        <w:rPr>
          <w:rFonts w:ascii="Times New Roman" w:hAnsi="Times New Roman" w:cs="Times New Roman"/>
          <w:sz w:val="2"/>
          <w:szCs w:val="2"/>
        </w:rPr>
      </w:r>
      <w:r>
        <w:rPr>
          <w:rFonts w:ascii="Times New Roman" w:hAnsi="Times New Roman" w:cs="Times New Roman"/>
          <w:sz w:val="2"/>
          <w:szCs w:val="2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276"/>
        <w:gridCol w:w="850"/>
        <w:gridCol w:w="850"/>
        <w:gridCol w:w="850"/>
        <w:gridCol w:w="709"/>
        <w:gridCol w:w="709"/>
        <w:gridCol w:w="567"/>
        <w:gridCol w:w="567"/>
        <w:gridCol w:w="567"/>
        <w:gridCol w:w="567"/>
        <w:gridCol w:w="567"/>
        <w:gridCol w:w="567"/>
        <w:gridCol w:w="1701"/>
        <w:gridCol w:w="1276"/>
        <w:gridCol w:w="1701"/>
        <w:gridCol w:w="1842"/>
      </w:tblGrid>
      <w:tr>
        <w:tblPrEx/>
        <w:trPr>
          <w:trHeight w:val="184"/>
          <w:tblHeader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16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17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17"/>
            <w:tcW w:w="15732" w:type="dxa"/>
            <w:textDirection w:val="lrTb"/>
            <w:noWrap w:val="false"/>
          </w:tcPr>
          <w:p>
            <w:pPr>
              <w:pStyle w:val="101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1. Цель муниципальной программы «Увеличение к 2030 году до 70 процентов доли населения Губкинского городского округа, систематически занимающегося физической культурой и спортом»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населения Губкинского городского округа, систематически занимающегося физической культурой и спортом в возрасте от 3 до 79 лет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57,5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61,4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63,2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65,6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67,2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68,1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70,0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/>
            <w:hyperlink r:id="rId18" w:tooltip="Распоряжение Правительства РФ от 24.11.2020 N 3081-р (ред. от 29.04.2023) &lt;Об утверждении Стратегии развития физической культуры и спорта в Российской Федерации на период до 2030 года&gt;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24.11.2020 № 3081-р, </w:t>
            </w:r>
            <w:hyperlink r:id="rId19" w:tooltip="&quot;Единый план по достижению национальных целей развития Российской Федерации на период до 2024 года и на плановый период до 2030 года&quot; (утв. распоряжением Правительства РФ от 01.10.2021 N 2765-р) (с изм. от 24.12.2021)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01.10.2021 № 2765-р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Администрация Губкинского городского округа (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управление </w:t>
            </w: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физической культуры и спорта)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shd w:val="clear" w:color="ffffff" w:fill="ffffff"/>
              <w:rPr>
                <w:rFonts w:ascii="Times New Roman" w:hAnsi="Times New Roman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Увеличение ожидаемой продолжительности жизни до 78 лет к 2030 году и до 81 года к 2036 году, в том числе опережающий рост показателей продолжительности здоровой жизни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Доля граждан,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Уровень обеспеченности граждан спортивными сооружениями исходя из единовременной пропускной 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способности объектов спорта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69,5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71,0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73,3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75,2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77,3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79,0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82,2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/>
            <w:hyperlink r:id="rId20" w:tooltip="Распоряжение Правительства РФ от 24.11.2020 N 3081-р (ред. от 29.04.2023) &lt;Об утверждении Стратегии развития физической культуры и спорта в Российской Федерации на период до 2030 года&gt;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24.11.2020 № 3081-р, </w:t>
            </w:r>
            <w:hyperlink r:id="rId21" w:tooltip="&quot;Единый план по достижению национальных целей развития Российской Федерации на период до 2024 года и на плановый период до 2030 года&quot; (утв. распоряжением Правительства РФ от 01.10.2021 N 2765-р) (с изм. от 24.12.2021)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Федерации от 01.10.2021 № 2765-р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Администрация Губкинского городского округа (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управление </w:t>
            </w: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физической культуры и спорта)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shd w:val="clear" w:color="ffffff" w:fill="ffffff"/>
              <w:rPr>
                <w:rFonts w:ascii="Times New Roman" w:hAnsi="Times New Roman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Увеличение ожидаемой продолжительности жизни до 78 лет к 2030 году и до 81 года к 2036 году, в том числе опережающий рост </w:t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показателей продолжительности здоровой жизни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Уровень обеспеченности граждан спортивными сооружениями исходя из единовременной пропускной способности объектов спорта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трудоспособного населения Губкинского городского округа, занимающегося физической культурой и спортом, в общей численности трудоспособного населения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56,6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63,7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65,8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67,6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69,5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71,2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73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/>
            <w:hyperlink r:id="rId22" w:tooltip="Распоряжение Правительства РФ от 24.11.2020 N 3081-р (ред. от 29.04.2023) &lt;Об утверждении Стратегии развития физической культуры и спорта в Российской Федерации на период до 2030 года&gt;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24.11.2020 № 3081-р, </w:t>
            </w:r>
            <w:hyperlink r:id="rId23" w:tooltip="&quot;Единый план по достижению национальных целей развития Российской Федерации на период до 2024 года и на плановый период до 2030 года&quot; (утв. распоряжением Правительства РФ от 01.10.2021 N 2765-р) (с изм. от 24.12.2021)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01.10.2021 № 2765-р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Администрация Губкинского городского округа (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управление </w:t>
            </w: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физической культуры и спорта)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shd w:val="clear" w:color="ffffff" w:fill="ffffff"/>
              <w:rPr>
                <w:rFonts w:ascii="Times New Roman" w:hAnsi="Times New Roman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Увеличение ожидаемой продолжительности жизни до 78 лет к 2030 году и до 81 года к 2036 году, в том числе опережающий рост показателей продолжительности здоровой жизни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Доля граждан трудоспособного возраста, систематически занимающегося физической культурой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 спортом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детей и молодежи (возраст 3 - 29 лет), систематически занимающихся физической культурой и спортом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98,5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98,5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98,5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98,5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98,5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98,5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98,5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/>
            <w:hyperlink r:id="rId24" w:tooltip="Распоряжение Правительства РФ от 24.11.2020 N 3081-р (ред. от 29.04.2023) &lt;Об утверждении Стратегии развития физической культуры и спорта в Российской Федерации на период до 2030 года&gt;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24.11.2020 № 3081-р, </w:t>
            </w:r>
            <w:hyperlink r:id="rId25" w:tooltip="&quot;Единый план по достижению национальных целей развития Российской Федерации на период до 2024 года и на плановый период до 2030 года&quot; (утв. распоряжением Правительства РФ от 01.10.2021 N 2765-р) (с изм. от 24.12.2021)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01.10.2021 № 2765-р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Администрация Губкинского городского округа (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управление </w:t>
            </w: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физической культуры и спорта)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shd w:val="clear" w:color="ffffff" w:fill="ffffff"/>
              <w:rPr>
                <w:rFonts w:ascii="Times New Roman" w:hAnsi="Times New Roman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Увеличение ожидаемой продолжительности жизни до 78 лет к 2030 году и до 81 года к 2036 году, в том числе опережающий рост показателей продолжительности здоровой жизни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Доля детей и молодежи (возраст 3 - 29 лет),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граждан среднего возраста (женщины: 30 - 54 года; мужчины: 30 - 59 лет), систематически занимающихся физической культурой и спортом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53,0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56,9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59,2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62,8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66,5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68,4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71,0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/>
            <w:hyperlink r:id="rId26" w:tooltip="Распоряжение Правительства РФ от 24.11.2020 N 3081-р (ред. от 29.04.2023) &lt;Об утверждении Стратегии развития физической культуры и спорта в Российской Федерации на период до 2030 года&gt;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24.11.2020 № 3081-р, </w:t>
            </w:r>
            <w:hyperlink r:id="rId27" w:tooltip="&quot;Единый план по достижению национальных целей развития Российской Федерации на период до 2024 года и на плановый период до 2030 года&quot; (утв. распоряжением Правительства РФ от 01.10.2021 N 2765-р) (с изм. от 24.12.2021)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01.10.2021 № 2765-р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Администрация Губкинского городского округа (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управление </w:t>
            </w: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физической культуры и спорта)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shd w:val="clear" w:color="ffffff" w:fill="ffffff"/>
              <w:rPr>
                <w:rFonts w:ascii="Times New Roman" w:hAnsi="Times New Roman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Увеличение ожидаемой продолжительности жизни до 78 лет к 2030 году и до 81 года к 2036 году, в том числе опережающий рост показателей продолжительности здоровой жизни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Доля граждан среднего возраста (женщины: 30 - 54 года; мужчины: 30 - 59 лет),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6.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граждан старшего возраста (женщины: 55 - 79 лет, мужчины: 60 - 70 лет), систематическ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и занимающихся физической культурой и спортом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22,3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25,6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28,4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34,5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37,9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39,7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42,5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/>
            <w:hyperlink r:id="rId28" w:tooltip="Распоряжение Правительства РФ от 24.11.2020 N 3081-р (ред. от 29.04.2023) &lt;Об утверждении Стратегии развития физической культуры и спорта в Российской Федерации на период до 2030 года&gt;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24.11.2020 № 3081-р, </w:t>
            </w:r>
            <w:hyperlink r:id="rId29" w:tooltip="&quot;Единый план по достижению национальных целей развития Российской Федерации на период до 2024 года и на плановый период до 2030 года&quot; (утв. распоряжением Правительства РФ от 01.10.2021 N 2765-р) (с изм. от 24.12.2021)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Федерации от 01.10.2021 № 2765-р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Администрация Губкинского городского округа (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управление </w:t>
            </w: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физической культуры и спорта)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shd w:val="clear" w:color="ffffff" w:fill="ffffff"/>
              <w:rPr>
                <w:rFonts w:ascii="Times New Roman" w:hAnsi="Times New Roman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Увеличение ожидаемой продолжительности жизни до 78 лет к 2030 году и до 81 года к 2036 году, в том числе опережающий рост </w:t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показателей продолжительности здоровой жизни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Доля граждан старшего возраста (женщины: 55 - 79 лет, мужчины: 60 - 70 лет),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7.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лиц с огранич-енными возможностями здоровья и инвалидов, системати-чески занимающихся физической культурой и спортом, в общей численности указанной категории населения Губкинского городского округа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22,2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23,0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23,1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23,2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23,4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23,7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24,0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/>
            <w:hyperlink r:id="rId30" w:tooltip="Распоряжение Правительства РФ от 24.11.2020 N 3081-р (ред. от 29.04.2023) &lt;Об утверждении Стратегии развития физической культуры и спорта в Российской Федерации на период до 2030 года&gt;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24.11.2020 № 3081-р, </w:t>
            </w:r>
            <w:hyperlink r:id="rId31" w:tooltip="&quot;Единый план по достижению национальных целей развития Российской Федерации на период до 2024 года и на плановый период до 2030 года&quot; (утв. распоряжением Правительства РФ от 01.10.2021 N 2765-р) (с изм. от 24.12.2021)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распоряжение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01.10.2021 № 2765-р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Администрация Губкинского городского округа (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управление </w:t>
            </w: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физической культуры и спорта)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shd w:val="clear" w:color="ffffff" w:fill="ffffff"/>
              <w:rPr>
                <w:rFonts w:ascii="Times New Roman" w:hAnsi="Times New Roman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Увеличение ожидаемой продолжительности жизни до 78 лет к 2030 году и до 81 года к 2036 году, в том числе опережающий рост показателей продолжительности здоровой жизни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Доля лиц с ограниченными возможностями здоровья и инвалидов, систематически занимающихся физической культурой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 спортом, в общей численности указанной категории населения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8.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сельского населения, систематически занимающегося физической культурой и спортом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55,9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56,7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59,8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62,4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64,8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66,3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68,7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Государственная программа Белгородской области «Развитие физической культуры и спорта Белгородской области»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Администрация Губкинского городского округа (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управление </w:t>
            </w:r>
            <w:r>
              <w:rPr>
                <w:rFonts w:ascii="Times New Roman" w:hAnsi="Times New Roman" w:eastAsia="Times New Roman"/>
                <w:spacing w:val="-2"/>
                <w:sz w:val="16"/>
                <w:szCs w:val="16"/>
              </w:rPr>
              <w:t xml:space="preserve">физической культуры и спорта)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shd w:val="clear" w:color="ffffff" w:fill="ffffff"/>
              <w:rPr>
                <w:rFonts w:ascii="Times New Roman" w:hAnsi="Times New Roman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Увеличение ожидаемой продолжительности жизни до 78 лет к 2030 году и до 81 года к 2036 году, в том числе опережающий рост показателей продолжительности здоровой жизни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Доля сельского населения, систематически занимающегося физической культурой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 спортом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Помесячный план достижения показателей муниципальной программы в 2025 году</w:t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tbl>
      <w:tblPr>
        <w:tblStyle w:val="838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102"/>
        <w:gridCol w:w="1134"/>
        <w:gridCol w:w="1134"/>
        <w:gridCol w:w="567"/>
        <w:gridCol w:w="567"/>
        <w:gridCol w:w="709"/>
        <w:gridCol w:w="567"/>
        <w:gridCol w:w="567"/>
        <w:gridCol w:w="709"/>
        <w:gridCol w:w="709"/>
        <w:gridCol w:w="567"/>
        <w:gridCol w:w="567"/>
        <w:gridCol w:w="567"/>
        <w:gridCol w:w="709"/>
        <w:gridCol w:w="993"/>
      </w:tblGrid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Единица измерения (по </w:t>
            </w:r>
            <w:hyperlink r:id="rId32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eastAsia="Times New Roman"/>
                  <w:b/>
                  <w:bCs/>
                  <w:sz w:val="16"/>
                  <w:szCs w:val="16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Плановые значения по кварталам/месяца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На конец 2025 год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1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янв.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фев.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сен.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нояб.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spacing w:after="0" w:line="240" w:lineRule="auto"/>
        <w:rPr>
          <w:rFonts w:ascii="Times New Roman" w:hAnsi="Times New Roman"/>
          <w:b/>
          <w:bCs/>
          <w:sz w:val="2"/>
          <w:szCs w:val="2"/>
        </w:rPr>
      </w:pPr>
      <w:r>
        <w:rPr>
          <w:rFonts w:ascii="Times New Roman" w:hAnsi="Times New Roman"/>
          <w:b/>
          <w:bCs/>
          <w:sz w:val="2"/>
          <w:szCs w:val="2"/>
        </w:rPr>
      </w:r>
      <w:r>
        <w:rPr>
          <w:rFonts w:ascii="Times New Roman" w:hAnsi="Times New Roman"/>
          <w:b/>
          <w:bCs/>
          <w:sz w:val="2"/>
          <w:szCs w:val="2"/>
        </w:rPr>
      </w:r>
      <w:r>
        <w:rPr>
          <w:rFonts w:ascii="Times New Roman" w:hAnsi="Times New Roman"/>
          <w:b/>
          <w:bCs/>
          <w:sz w:val="2"/>
          <w:szCs w:val="2"/>
        </w:rPr>
      </w:r>
    </w:p>
    <w:tbl>
      <w:tblPr>
        <w:tblW w:w="0" w:type="auto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102"/>
        <w:gridCol w:w="1134"/>
        <w:gridCol w:w="1134"/>
        <w:gridCol w:w="567"/>
        <w:gridCol w:w="567"/>
        <w:gridCol w:w="709"/>
        <w:gridCol w:w="567"/>
        <w:gridCol w:w="567"/>
        <w:gridCol w:w="709"/>
        <w:gridCol w:w="709"/>
        <w:gridCol w:w="567"/>
        <w:gridCol w:w="567"/>
        <w:gridCol w:w="567"/>
        <w:gridCol w:w="709"/>
        <w:gridCol w:w="993"/>
      </w:tblGrid>
      <w:tr>
        <w:tblPrEx/>
        <w:trPr>
          <w:trHeight w:val="151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1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  <w:lang w:eastAsia="ru-RU"/>
              </w:rPr>
              <w:t xml:space="preserve">16</w:t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b/>
                <w:bCs/>
                <w:sz w:val="16"/>
                <w:szCs w:val="16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1.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15"/>
            <w:tcW w:w="151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Цель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муниципальной программы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 «Увеличение к 2030 году до 70 % доли населения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Губкинского городского округа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, систематически занимающегося физической культурой и спортом»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населения Губкинского городского округа, систематически занимающегося физической культурой и спортом в возрасте от 3 до 79 лет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60,1</w:t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60,7</w:t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61,0</w:t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  <w:t xml:space="preserve">61,4</w:t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Уровень обеспеченности граждан спортивными сооружениями исходя из единовременной пропускной способности объектов спорта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69,9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70,4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70,8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71,0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1.3.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трудоспособного населения Губкинского городского округа, занимающегося физической культурой и спортом, в общей численности трудоспособного населения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61,5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62,3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63,1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63,7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1.4.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детей и молодежи (возраст 3 - 29 лет), систематически занимающихся физической культурой и спортом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98,5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98,5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98,5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98,5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1.5.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граждан среднего возраста (женщины 30 - 54 года; мужчины: 30 - 59 лет), систематически занимающихся физической культурой и спортом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54,4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55,2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56,0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56,9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1.6.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граждан старшего возраста (женщины 55 - 79 лет, мужчины 60 - 70 лет), систематически занимающихся физической культурой и спортом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23,0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24,1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25,1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25,6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1.7.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Губкинского городского округа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22,4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22,6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22,8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23,0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  <w:tr>
        <w:tblPrEx/>
        <w:trPr>
          <w:trHeight w:val="44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1.8.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сельского населения, систематически занимающегося физической культурой и спортом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МП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56,3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56,5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56,6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56,7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</w:tbl>
    <w:p>
      <w:pPr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4. Структура муниципальной программы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0"/>
          <w:szCs w:val="20"/>
          <w:lang w:eastAsia="ru-RU"/>
        </w:rPr>
      </w:r>
    </w:p>
    <w:tbl>
      <w:tblPr>
        <w:tblW w:w="15732" w:type="dxa"/>
        <w:tblInd w:w="-557" w:type="dxa"/>
        <w:tblLayout w:type="fixed"/>
        <w:tblCellMar>
          <w:left w:w="10" w:type="dxa"/>
          <w:top w:w="40" w:type="dxa"/>
          <w:right w:w="60" w:type="dxa"/>
          <w:bottom w:w="33" w:type="dxa"/>
        </w:tblCellMar>
        <w:tblLook w:val="00A0" w:firstRow="1" w:lastRow="0" w:firstColumn="1" w:lastColumn="0" w:noHBand="0" w:noVBand="0"/>
      </w:tblPr>
      <w:tblGrid>
        <w:gridCol w:w="567"/>
        <w:gridCol w:w="5529"/>
        <w:gridCol w:w="4394"/>
        <w:gridCol w:w="5242"/>
      </w:tblGrid>
      <w:tr>
        <w:tblPrEx/>
        <w:trPr>
          <w:trHeight w:val="37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vAlign w:val="center"/>
            <w:textDirection w:val="lrTb"/>
            <w:noWrap/>
          </w:tcPr>
          <w:p>
            <w:pPr>
              <w:ind w:firstLine="10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52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Задачи структурного элемента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9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24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Связь с показателями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529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242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9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16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Направление (подпрограмма) 1 </w:t>
            </w:r>
            <w:r>
              <w:rPr>
                <w:rFonts w:ascii="Times New Roman" w:hAnsi="Times New Roman" w:eastAsia="Arial Unicode MS"/>
                <w:bCs/>
                <w:color w:val="000000"/>
                <w:sz w:val="20"/>
                <w:szCs w:val="20"/>
                <w:lang w:eastAsia="ru-RU"/>
              </w:rPr>
              <w:t xml:space="preserve">«Укрепление материально-технического обеспечения и развития физической культуры и массового спорта»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16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Муниципальный проект</w:t>
            </w:r>
            <w:r>
              <w:rPr>
                <w:rFonts w:ascii="Times New Roman" w:hAnsi="Times New Roman" w:eastAsia="Times New Roman"/>
                <w:bCs/>
                <w:sz w:val="20"/>
                <w:szCs w:val="20"/>
                <w:lang w:eastAsia="ru-RU"/>
              </w:rPr>
              <w:t xml:space="preserve"> «Создание спортивной инфраструктуры и материально-технической базы для занятий физической культурой и спортом»,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не входящий в состав национального проекта</w:t>
            </w:r>
            <w:r>
              <w:rPr>
                <w:rFonts w:ascii="Times New Roman" w:hAnsi="Times New Roman" w:eastAsia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(Куратор - </w:t>
            </w:r>
            <w:r>
              <w:rPr>
                <w:rFonts w:ascii="Times New Roman" w:hAnsi="Times New Roman" w:eastAsia="Arial Unicode MS"/>
                <w:sz w:val="20"/>
                <w:szCs w:val="20"/>
              </w:rPr>
              <w:t xml:space="preserve">заместитель главы администрации по социальному развитию администрации Губкинского городского округа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52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Ответственный за реализацию: администрация Губкинского городского округа (в лице МКУ «Управление капитального строительства»)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96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Срок реализации: 2025 — 2026 годы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1.1.1.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529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 w:eastAsia="Times New Roman"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43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 концу 2026 года на территории Губкинского городского округа планируется построить (реконструировать) и (или) капитально отремонтировать объекты спортивной инфраструктуры и ввести в эксплуатацию 1 объект в 2026 году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2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 Доля населения Губкинского городского округа, систематически занимающегося физической культурой и спортом в возрасте от 3 до 79 лет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2. Уровень обеспеченности граждан спортивными сооружениями исходя из единовременной пропускной способности объектов спорта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3. Доля трудоспособного населения Губкинского городского округа, занимающегося физической культурой и спортом, в общей численности трудоспособного населения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4. Доля сельского населения, систематически занимающегося физической культурой и спортом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5.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Губкинского городского округа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16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Ведомственный проект</w:t>
            </w:r>
            <w:r>
              <w:rPr>
                <w:rFonts w:ascii="Times New Roman" w:hAnsi="Times New Roman" w:eastAsia="Times New Roman"/>
                <w:bCs/>
                <w:sz w:val="20"/>
                <w:szCs w:val="20"/>
                <w:lang w:eastAsia="ru-RU"/>
              </w:rPr>
              <w:t xml:space="preserve"> «Создание спортивной инфраструктуры и материально-технической базы для занятий физической культурой и спортом»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(Куратор - </w:t>
            </w:r>
            <w:r>
              <w:rPr>
                <w:rFonts w:ascii="Times New Roman" w:hAnsi="Times New Roman" w:eastAsia="Arial Unicode MS"/>
                <w:sz w:val="20"/>
                <w:szCs w:val="20"/>
              </w:rPr>
              <w:t xml:space="preserve">заместитель главы администрации по социальному развитию администрации Губкинского городского округа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52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Ответственный за реализацию: администрация Губкинского городского округа (в лице МКУ «Управление капитального строительства»)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96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Срок реализации: 2025 год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1.2.1.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529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 w:eastAsia="Times New Roman"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439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 концу 2025 года на территории Губкинского городского округа планируется построить (реконструировать) и (или) капитально отремонтировать объекты спортивной инфраструктуры и ввести в эксплуатацию 2 объекта в 2025 году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24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 Доля населения Губкинского городского округа, систематически занимающегося физической культурой и спортом в возрасте от 3 до 79 лет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2. Уровень обеспеченности граждан спортивными сооружениями исходя из единовременной пропускной способности объектов спорта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3. Доля трудоспособного населения Губкинского городского округа, занимающегося физической культурой и спортом, в общей численности трудоспособного населения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4. Доля сельского населения, систематически занимающегося физической культурой и спортом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5.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Губкинского городского округа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7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165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Направление (подпрограмма) 2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 «Мероприятия по осуществлению спортивной подготовки»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7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165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Комплекс процессных мероприятий «Мероприятия по осуществлению спортивной подготовки»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529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Ответственный за реализацию: администрация Губкинского городского округа (в лице управления физической культуры и спорта)</w:t>
            </w:r>
            <w:r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96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Срок реализации: 2025 — 2030 годы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83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2.1.1.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5529" w:type="dxa"/>
            <w:textDirection w:val="lrTb"/>
            <w:noWrap/>
          </w:tcPr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1 «Обеспечение деятельности (оказание услуг) муниципальных учреждений (организаций) в области физической культуры и спорта»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4394" w:type="dxa"/>
            <w:textDirection w:val="lrTb"/>
            <w:noWrap w:val="false"/>
          </w:tcPr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Предоставлены субсидии подведомственным учреждениям </w:t>
            </w:r>
            <w:r>
              <w:rPr>
                <w:rFonts w:ascii="Times New Roman" w:hAnsi="Times New Roman"/>
                <w:color w:val="000000"/>
              </w:rPr>
              <w:t xml:space="preserve">управления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 администрации Губкинского городского округа, осуществляющим деятельность по дополнительным образовательным программам спортивной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5242" w:type="dxa"/>
            <w:textDirection w:val="lrTb"/>
            <w:noWrap w:val="false"/>
          </w:tcPr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Доля населения Губкинского городского округа, систематически занимающегося физической культурой и спортом в возрасте от 3 до 79 лет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Доля детей и молодежи (возраст 3 - 29 лет),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Губкинского городского округа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16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Направление (подпрограмма) 3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«Развитие физической культуры и массового спорта»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3.1.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16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«Проведение физкультурно-массовых и спортивных мероприятий»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8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5529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Ответственный за реализацию: администрация Губкинского городского округа (в лице управления физической культуры и спорта), сельские территориальные администрации, управление образования (по согласованию)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96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Срок реализации: 2025 — 2030 годы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377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3.1.1.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529" w:type="dxa"/>
            <w:textDirection w:val="lrTb"/>
            <w:noWrap/>
          </w:tcPr>
          <w:p>
            <w:pPr>
              <w:ind w:hanging="3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«Организация событийных спортивных мероприятий на территории Губкинского городского округа»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94" w:type="dxa"/>
            <w:textDirection w:val="lrTb"/>
            <w:noWrap/>
          </w:tcPr>
          <w:p>
            <w:pPr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Упра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влением физической культуры и спорта администрации Губкинского городского округа проведены мероприятия физкультурно-массовой и спортивной направленности для популяризации физической культуры и спорта среди всех групп населения Губкинского городского округа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242" w:type="dxa"/>
            <w:textDirection w:val="lrTb"/>
            <w:noWrap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outlineLvl w:val="1"/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1. Доля сельского населения, систематически занимающегося физической культурой и спортом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outlineLvl w:val="1"/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2. Доля трудоспособного населения Губкинского городского округа, занимающегося физической культурой и спортом, в общей численности трудоспособного населения.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outlineLvl w:val="1"/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3. Доля граждан среднего возраста (женщины 30 - 54 года; мужчины: 30 - 59 лет), систематически занимающихся физической культурой и спортом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outlineLvl w:val="1"/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4. Доля граждан старшего возраста (женщины 55 - 79 лет, мужчины 60 - 70 лет), систематически занимающихся физической культурой и спортом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outlineLvl w:val="1"/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5.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Губкинского городского округа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6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165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Направление (подпрограмма) 4 «Обеспечение реализации муниципальной программы»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6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4.1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16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«Обеспечение реализации муниципальной программы»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529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Ответственный за реализацию: администрация Губкинского городского округа (в лице управления физической культуры и спорта)</w:t>
            </w:r>
            <w:r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80008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6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Срок реализации: 2025 — 2030 годы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61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4.1.1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5529" w:type="dxa"/>
            <w:textDirection w:val="lrTb"/>
            <w:noWrap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Задача 1 «Исполнение функций органов местного самоуправления»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/>
          </w:tcPr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финансирования содержания </w:t>
            </w:r>
            <w:r>
              <w:rPr>
                <w:rFonts w:ascii="Times New Roman" w:hAnsi="Times New Roman"/>
                <w:color w:val="000000"/>
              </w:rPr>
              <w:t xml:space="preserve">управления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 администрации Губкинского городского округа в части осуществления выплат по оплате труда сотрудников, компенсации командировочных расходов и прочих расходов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2" w:type="dxa"/>
            <w:textDirection w:val="lrTb"/>
            <w:noWrap/>
          </w:tcPr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Доля населения Губкинского городского округа, систематически занимающегося физической культурой и спортом в возрасте от 3 до 79 лет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  <w:lang w:eastAsia="ru-RU"/>
        </w:rPr>
        <w:t xml:space="preserve">5. Финансовое обеспечение муниципальной программы</w:t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tbl>
      <w:tblPr>
        <w:tblW w:w="15732" w:type="dxa"/>
        <w:tblInd w:w="-556" w:type="dxa"/>
        <w:tblLayout w:type="fixed"/>
        <w:tblCellMar>
          <w:left w:w="11" w:type="dxa"/>
          <w:top w:w="33" w:type="dxa"/>
          <w:right w:w="22" w:type="dxa"/>
        </w:tblCellMar>
        <w:tblLook w:val="00A0" w:firstRow="1" w:lastRow="0" w:firstColumn="1" w:lastColumn="0" w:noHBand="0" w:noVBand="0"/>
      </w:tblPr>
      <w:tblGrid>
        <w:gridCol w:w="567"/>
        <w:gridCol w:w="5669"/>
        <w:gridCol w:w="1538"/>
        <w:gridCol w:w="1275"/>
        <w:gridCol w:w="1134"/>
        <w:gridCol w:w="1134"/>
        <w:gridCol w:w="1134"/>
        <w:gridCol w:w="1134"/>
        <w:gridCol w:w="1134"/>
        <w:gridCol w:w="1013"/>
      </w:tblGrid>
      <w:tr>
        <w:tblPrEx/>
        <w:trPr>
          <w:trHeight w:val="438"/>
          <w:tblHeader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6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муниципальной программы, структурного элемента муниципальной программы, источник финансового обеспечения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3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Код бюджетной классификации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7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95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tblHeader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vAlign w:val="center"/>
            <w:vMerge w:val="continue"/>
            <w:textDirection w:val="lrTb"/>
            <w:noWrap/>
          </w:tcPr>
          <w:p>
            <w:pPr>
              <w:spacing w:after="123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69" w:type="dxa"/>
            <w:vAlign w:val="center"/>
            <w:vMerge w:val="continue"/>
            <w:textDirection w:val="lrTb"/>
            <w:noWrap/>
          </w:tcPr>
          <w:p>
            <w:pPr>
              <w:spacing w:after="123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widowControl w:val="off"/>
              <w:tabs>
                <w:tab w:val="center" w:pos="700" w:leader="none"/>
                <w:tab w:val="center" w:pos="910" w:leader="none"/>
                <w:tab w:val="center" w:pos="1458" w:leader="none"/>
                <w:tab w:val="center" w:pos="1894" w:leader="none"/>
              </w:tabs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8"/>
        </w:trPr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6236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(всего), в том числе: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06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851 891,0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714 357,9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278 137,0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278 137,0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278 137,0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278 137,0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2 678 796,9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45"/>
        </w:trPr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6236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412 691,0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268 438,0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252 937,0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252 937,0</w:t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252 937,0</w:t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252 937,0</w:t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1 692 877,0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24"/>
        </w:trPr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6236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414 000,0</w:t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420 719,9</w:t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0,0</w:t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0,0</w:t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0,0</w:t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0,0</w:t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834 719,9</w:t>
            </w:r>
            <w:r/>
          </w:p>
        </w:tc>
      </w:tr>
      <w:tr>
        <w:tblPrEx/>
        <w:trPr>
          <w:trHeight w:val="28"/>
        </w:trPr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6236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0,0</w:t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0,0</w:t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0,0</w:t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0,0</w:t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0,0</w:t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0,0</w:t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0,0</w:t>
            </w:r>
            <w:r/>
          </w:p>
        </w:tc>
      </w:tr>
      <w:tr>
        <w:tblPrEx/>
        <w:trPr>
          <w:trHeight w:val="299"/>
        </w:trPr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6236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25 200,0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25 200,0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25 200,0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25 200,0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25 200,0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25 200,0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151 200,0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"/>
        </w:trPr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6236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Объем налоговых расходов (справочно)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20 555,0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20 555,0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66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  <w:t xml:space="preserve">Муниципальный проект «Создание спортивной инфраструктуры и материально-технической базы для занятий физической культурой и спортом» не входящий в состав национального проекта (всего), в том числе: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06.2.01.00000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440 426,0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447 574,9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888 000,9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66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26 426,0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26 855,0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53 281,0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66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414 000,0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420 719,9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834 719,9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66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66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66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  <w:t xml:space="preserve">Ведомственный проект «Создание спортивной инфраструктуры и материально-технической базы для занятий физической культурой и спортом» (всего), в том числе: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06.3.01.00000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82 816,0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82 816,0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66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82 816,0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82 816,0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66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66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66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66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  <w:t xml:space="preserve">Комплекс процессных мероприятий «Мероприятия по осуществлению спортивной подготовки» (всего), в том числе: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06.4.01.00000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318 933,0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261 038,0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272 162,0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272 162,00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272 162,00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272 162,0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1 668 619,0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669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293 733,0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235 838,0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246 962,0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246 962,0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246 962,0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246 962,0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1 517 419,0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669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669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669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25 200,0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25 200,0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25 200,0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25 200,0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25 200,0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25 200,0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151 200,0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66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  <w:t xml:space="preserve">Комплекс процессных мероприятий «Проведение физкультурно-массовых и спортивных мероприятий» (всего), в том числе: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06.4.02.00000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2 990,0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2 990,0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669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2 990,0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2 990,0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669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669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669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5.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669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  <w:t xml:space="preserve">Комплекс процессных мероприятий «Обеспечение реализации муниципальной программы» (всего), в том числе: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06.4.03.00000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6 726,0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5 745,0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5 975,0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5 975,0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5 975,0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5 975,0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36 371,0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669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6 726,0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5 745,0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5 975,0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5 975,0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5 975,0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5 975,0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36 371,0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669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669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5669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6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6236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Нераспределенный резерв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(бюджет Губкинского городского округа Белгородской области)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8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5" w:type="dxa"/>
            <w:vAlign w:val="center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1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</w:tbl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tbl>
      <w:tblPr>
        <w:tblW w:w="160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057"/>
        <w:gridCol w:w="495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05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Приложение № 2</w:t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pStyle w:val="101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 муниципальной программе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101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«Развитие физической культуры и спорта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в Губкинском городском округе Белгородской области»</w:t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r>
          </w:p>
        </w:tc>
      </w:tr>
    </w:tbl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  <w:t xml:space="preserve">III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. Паспорт 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муниципального проекта «Создание спортивной инфраструктуры и материально-технической базы для занятий физической культурой и спортом»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t xml:space="preserve">, не входящего в состав национального проекта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t xml:space="preserve">(далее - 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муниципальный проект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t xml:space="preserve">)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</w:r>
      <w:r>
        <w:rPr>
          <w:rFonts w:ascii="Times New Roman" w:hAnsi="Times New Roman" w:eastAsia="Times New Roman"/>
          <w:color w:val="000000"/>
          <w:lang w:eastAsia="ru-RU"/>
        </w:rPr>
      </w:r>
      <w:r>
        <w:rPr>
          <w:rFonts w:ascii="Times New Roman" w:hAnsi="Times New Roman" w:eastAsia="Times New Roman"/>
          <w:color w:val="00000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outlineLvl w:val="2"/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t xml:space="preserve">1. Основные положения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</w:p>
    <w:p>
      <w:pPr>
        <w:contextualSpacing/>
        <w:jc w:val="center"/>
        <w:spacing w:before="120" w:after="120" w:line="240" w:lineRule="auto"/>
        <w:rPr>
          <w:rFonts w:ascii="Times New Roman" w:hAnsi="Times New Roman"/>
          <w:b/>
          <w:lang w:val="en-US" w:eastAsia="ru-RU"/>
        </w:rPr>
        <w:outlineLvl w:val="3"/>
      </w:pPr>
      <w:r>
        <w:rPr>
          <w:rFonts w:ascii="Times New Roman" w:hAnsi="Times New Roman"/>
          <w:b/>
          <w:lang w:val="en-US" w:eastAsia="ru-RU"/>
        </w:rPr>
      </w:r>
      <w:r>
        <w:rPr>
          <w:rFonts w:ascii="Times New Roman" w:hAnsi="Times New Roman"/>
          <w:b/>
          <w:lang w:val="en-US" w:eastAsia="ru-RU"/>
        </w:rPr>
      </w:r>
      <w:r>
        <w:rPr>
          <w:rFonts w:ascii="Times New Roman" w:hAnsi="Times New Roman"/>
          <w:b/>
          <w:lang w:val="en-US" w:eastAsia="ru-RU"/>
        </w:rPr>
      </w:r>
    </w:p>
    <w:tbl>
      <w:tblPr>
        <w:tblW w:w="5073" w:type="pct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58"/>
        <w:gridCol w:w="3065"/>
        <w:gridCol w:w="60"/>
        <w:gridCol w:w="2260"/>
        <w:gridCol w:w="1885"/>
        <w:gridCol w:w="2205"/>
      </w:tblGrid>
      <w:tr>
        <w:tblPrEx/>
        <w:trPr>
          <w:cantSplit/>
          <w:trHeight w:val="20"/>
        </w:trPr>
        <w:tc>
          <w:tcPr>
            <w:shd w:val="clear" w:color="auto" w:fill="ffffff"/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Краткое наименование муниципального проекта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312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Создание спортивной инфраструктуры и материально-технической базы для занятий физической культурой и спортом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2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Срок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реализации проекта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18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22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Куратор муниципального проекта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5"/>
            <w:shd w:val="clear" w:color="auto" w:fill="ffffff"/>
            <w:tcW w:w="94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Заместитель главы администрации по социальному развитию администрации Губкинского городского округа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Ответственный исполнитель муниципального проекта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5"/>
            <w:shd w:val="clear" w:color="auto" w:fill="ffffff"/>
            <w:tcW w:w="94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Комитет градостроительной политики администрации Губкинского городского округа, председатель комитета градостроительной политики  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Соисполнители, участники муниципального проекта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5"/>
            <w:tcW w:w="94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Управление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 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Целевые группы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5"/>
            <w:shd w:val="clear" w:color="auto" w:fill="ffffff"/>
            <w:tcW w:w="94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Жители Губкинского городского округа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62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Связь с государственными программами (комплексными программами) Белгородской области и муниципальными программами (комплексными программами) Губкинского городского округа Белгородской области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306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Государственная программа Белгородской области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auto" w:fill="ffffff"/>
            <w:tcW w:w="6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Государственная программа Белгородской области «Развитие физической культуры и спорта Белгородской области»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625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306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Муниципальная программа Губкинского городского округа Белгородской области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auto" w:fill="ffffff"/>
            <w:tcW w:w="6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Муниципальная программа Губкинского городского округа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«Развитие физической культуры и спорта 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в Губкинском городском округе Белгородской области»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sz w:val="24"/>
          <w:szCs w:val="24"/>
          <w:lang w:val="en-US" w:eastAsia="ru-RU"/>
        </w:rPr>
        <w:t xml:space="preserve">2. Показатели муниципального проекта</w:t>
      </w:r>
      <w:r>
        <w:rPr>
          <w:rFonts w:ascii="Times New Roman" w:hAnsi="Times New Roman"/>
          <w:b/>
          <w:sz w:val="24"/>
          <w:szCs w:val="24"/>
          <w:lang w:val="en-US" w:eastAsia="ru-RU"/>
        </w:rPr>
      </w:r>
      <w:r>
        <w:rPr>
          <w:rFonts w:ascii="Times New Roman" w:hAnsi="Times New Roman"/>
          <w:b/>
          <w:sz w:val="24"/>
          <w:szCs w:val="24"/>
          <w:lang w:val="en-US"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400"/>
        <w:gridCol w:w="1275"/>
        <w:gridCol w:w="1417"/>
        <w:gridCol w:w="1276"/>
        <w:gridCol w:w="1134"/>
        <w:gridCol w:w="709"/>
        <w:gridCol w:w="709"/>
        <w:gridCol w:w="709"/>
        <w:gridCol w:w="709"/>
        <w:gridCol w:w="709"/>
        <w:gridCol w:w="709"/>
        <w:gridCol w:w="709"/>
        <w:gridCol w:w="1701"/>
      </w:tblGrid>
      <w:tr>
        <w:tblPrEx/>
        <w:trPr>
          <w:trHeight w:val="392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firstLine="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показателя муниципального проекта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Признак возрастания/убывания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33" w:tooltip="https://login.consultant.ru/link/?req=doc&amp;base=LAW&amp;n=482062" w:history="1">
              <w:r>
                <w:rPr>
                  <w:rFonts w:ascii="Times New Roman" w:hAnsi="Times New Roman" w:eastAsia="Times New Roman"/>
                  <w:b/>
                  <w:bCs/>
                  <w:color w:val="000000"/>
                  <w:sz w:val="20"/>
                  <w:szCs w:val="20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6"/>
            <w:tcW w:w="4252" w:type="dxa"/>
            <w:vAlign w:val="center"/>
            <w:textDirection w:val="lrTb"/>
            <w:noWrap w:val="false"/>
          </w:tcPr>
          <w:p>
            <w:pPr>
              <w:pStyle w:val="1023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Период, год</w:t>
            </w:r>
            <w:r>
              <w:rPr>
                <w:rFonts w:eastAsia="Calibri"/>
                <w:b/>
                <w:bCs/>
                <w:sz w:val="20"/>
                <w:szCs w:val="20"/>
              </w:rPr>
            </w:r>
            <w:r>
              <w:rPr>
                <w:rFonts w:eastAsia="Calibri"/>
                <w:b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1023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Нарастающий итог</w:t>
            </w:r>
            <w:r>
              <w:rPr>
                <w:rFonts w:eastAsia="Calibri"/>
                <w:b/>
                <w:bCs/>
                <w:sz w:val="20"/>
                <w:szCs w:val="20"/>
              </w:rPr>
            </w:r>
            <w:r>
              <w:rPr>
                <w:rFonts w:eastAsia="Calibri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73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252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29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13"/>
            <w:tcW w:w="151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Количество введенных в эксплуатацию объектов спортивной инфраструктуры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«МП»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«П»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единица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да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3. Помесячный план достижения показателей муниципального проекта в 2025 году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825"/>
        <w:gridCol w:w="1275"/>
        <w:gridCol w:w="1134"/>
        <w:gridCol w:w="709"/>
        <w:gridCol w:w="709"/>
        <w:gridCol w:w="709"/>
        <w:gridCol w:w="709"/>
        <w:gridCol w:w="709"/>
        <w:gridCol w:w="709"/>
        <w:gridCol w:w="709"/>
        <w:gridCol w:w="567"/>
        <w:gridCol w:w="567"/>
        <w:gridCol w:w="709"/>
        <w:gridCol w:w="709"/>
        <w:gridCol w:w="1417"/>
      </w:tblGrid>
      <w:tr>
        <w:tblPrEx/>
        <w:trPr>
          <w:trHeight w:val="425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ind w:left="-108" w:right="-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  <w:p>
            <w:pPr>
              <w:ind w:left="-108" w:right="-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ind w:left="-121" w:right="-108" w:firstLine="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Показатели муниципального проекта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63" w:right="-12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34" w:tooltip="https://login.consultant.ru/link/?req=doc&amp;base=LAW&amp;n=482062" w:history="1">
              <w:r>
                <w:rPr>
                  <w:rFonts w:ascii="Times New Roman" w:hAnsi="Times New Roman" w:eastAsia="Times New Roman"/>
                  <w:b/>
                  <w:bCs/>
                  <w:color w:val="000000"/>
                  <w:sz w:val="20"/>
                  <w:szCs w:val="20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11"/>
            <w:tcW w:w="7512" w:type="dxa"/>
            <w:vAlign w:val="center"/>
            <w:textDirection w:val="lrTb"/>
            <w:noWrap w:val="false"/>
          </w:tcPr>
          <w:p>
            <w:pPr>
              <w:ind w:hanging="8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hanging="8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конец 2025 года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7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янв.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фев.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сен.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нояб.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spacing w:after="252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33"/>
        </w:trPr>
        <w:tc>
          <w:tcPr>
            <w:gridSpan w:val="16"/>
            <w:tcW w:w="15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outlineLvl w:val="1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введенных в эксплуатацию объектов спортивной инфраструктуры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«МП»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единица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sz w:val="24"/>
          <w:szCs w:val="24"/>
          <w:lang w:val="en-US" w:eastAsia="ru-RU"/>
        </w:rPr>
        <w:t xml:space="preserve">4. Мероприятия (результаты) муниципального проекта</w:t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tbl>
      <w:tblPr>
        <w:tblW w:w="15732" w:type="dxa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6"/>
        <w:gridCol w:w="1984"/>
        <w:gridCol w:w="2551"/>
        <w:gridCol w:w="1134"/>
        <w:gridCol w:w="992"/>
        <w:gridCol w:w="567"/>
        <w:gridCol w:w="567"/>
        <w:gridCol w:w="567"/>
        <w:gridCol w:w="567"/>
        <w:gridCol w:w="567"/>
        <w:gridCol w:w="567"/>
        <w:gridCol w:w="567"/>
        <w:gridCol w:w="1276"/>
        <w:gridCol w:w="1276"/>
        <w:gridCol w:w="1984"/>
      </w:tblGrid>
      <w:tr>
        <w:tblPrEx/>
        <w:trPr>
          <w:trHeight w:val="659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ind w:left="-108" w:right="-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п/п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Наименование мероприятия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(результата)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структурных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элементов муниципальных программ вместе с наименованием муниципальной программы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(по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ОКЕИ)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6"/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Значение мероприятия (результата), 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Тип мероприятия (результата)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Уровень мероприятия (результата)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Связь с показателям и </w:t>
            </w:r>
            <w:r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муниципального</w:t>
            </w:r>
            <w:r>
              <w:rPr>
                <w:rFonts w:ascii="Times New Roman" w:hAnsi="Times New Roman"/>
                <w:b/>
                <w:bCs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проекта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значение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год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3"/>
        </w:trPr>
        <w:tc>
          <w:tcPr>
            <w:gridSpan w:val="15"/>
            <w:tcW w:w="15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Строительство (реконструкция) объектов спорта (Капитальные вложения в объекты государственной (муниципальной) собственности)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единица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«МП»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введенных в эксплуатацию объектов спортивной инфраструктуры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5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1.1.1.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gridSpan w:val="14"/>
            <w:tcW w:w="1516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Предоставлены средства на строительство (реконструкцию) объектов спорта,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рамках которых осуществляются закупки товаров, работ и услуг в соответствии с пообъектным перечнем строительства, реконструкции и капитального ремонта объектов социальной сферы и развития жилищно-коммунальной инфраструктуры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contextualSpacing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outlineLvl w:val="3"/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color w:val="000000" w:themeColor="text1"/>
          <w:sz w:val="24"/>
          <w:szCs w:val="24"/>
          <w:lang w:val="en-US" w:eastAsia="ru-RU"/>
        </w:rPr>
        <w:t xml:space="preserve">5. Финансовое обеспечение реализации </w:t>
      </w:r>
      <w:r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en-US" w:eastAsia="ru-RU"/>
        </w:rPr>
        <w:t xml:space="preserve"> проекта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en-US"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tbl>
      <w:tblPr>
        <w:tblW w:w="5073" w:type="pct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528"/>
        <w:gridCol w:w="2268"/>
        <w:gridCol w:w="992"/>
        <w:gridCol w:w="992"/>
        <w:gridCol w:w="992"/>
        <w:gridCol w:w="1134"/>
        <w:gridCol w:w="1134"/>
        <w:gridCol w:w="1134"/>
        <w:gridCol w:w="992"/>
      </w:tblGrid>
      <w:tr>
        <w:tblPrEx/>
        <w:trPr>
          <w:trHeight w:val="20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 п/п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W w:w="55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Наименование мероприятия (результата) и источники финансирования</w:t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Код бюджетной классификации</w:t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</w:p>
        </w:tc>
        <w:tc>
          <w:tcPr>
            <w:gridSpan w:val="7"/>
            <w:tcW w:w="73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</w:p>
        </w:tc>
      </w:tr>
      <w:tr>
        <w:tblPrEx/>
        <w:trPr>
          <w:trHeight w:val="20"/>
          <w:tblHeader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2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gridSpan w:val="9"/>
            <w:tcW w:w="151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Мероприятие (результат) «Строительство (реконструкция) объектов спорта (Капитальные вложения в объекты государственной (муниципальной) собственности)», всего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440 426,0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447 574,9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888 000,9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855 1102 06201 230 400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26 426,0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26 855,0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53 281,0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областной бюджет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855 1102 0620140230 400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414 000,0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420 719,9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835 378,0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иные источники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Нераспределенный резерв (бюджет Губкинского городского округа Белгородской области)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gridSpan w:val="2"/>
            <w:tcW w:w="60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Итого по муниципальному проекту: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440 426,0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440 426,0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447 574,9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888 000,9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0"/>
        </w:trPr>
        <w:tc>
          <w:tcPr>
            <w:gridSpan w:val="2"/>
            <w:tcW w:w="6094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855 1102 06201S0230 400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26 426,0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26 426,0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26 855,0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53 281,0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0"/>
        </w:trPr>
        <w:tc>
          <w:tcPr>
            <w:gridSpan w:val="2"/>
            <w:tcW w:w="6094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областной бюджет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855 1102 0620140230 400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414 000,0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414 000,0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420 719,9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834 719,9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0"/>
        </w:trPr>
        <w:tc>
          <w:tcPr>
            <w:gridSpan w:val="2"/>
            <w:tcW w:w="6094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gridSpan w:val="2"/>
            <w:tcW w:w="6094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иные источники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  <w:outlineLvl w:val="3"/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6. Помесячный план исполнения бюджета</w:t>
      </w:r>
      <w:r>
        <w:rPr>
          <w:rFonts w:ascii="Times New Roman" w:hAnsi="Times New Roman"/>
          <w:b/>
          <w:sz w:val="24"/>
          <w:szCs w:val="24"/>
        </w:rPr>
        <w:t xml:space="preserve"> Губкинского городского округа Белгородской области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в части бюджетных ассигнований, предусмотренных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на финансовое обеспечение реализации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проекта </w:t>
      </w:r>
      <w:r>
        <w:rPr>
          <w:rFonts w:ascii="Times New Roman" w:hAnsi="Times New Roman"/>
          <w:b/>
          <w:sz w:val="24"/>
          <w:szCs w:val="24"/>
        </w:rPr>
        <w:t xml:space="preserve">в </w:t>
      </w:r>
      <w:r>
        <w:rPr>
          <w:rFonts w:ascii="Times New Roman" w:hAnsi="Times New Roman"/>
          <w:b/>
          <w:sz w:val="24"/>
          <w:szCs w:val="24"/>
        </w:rPr>
        <w:t xml:space="preserve">2025</w:t>
      </w:r>
      <w:r>
        <w:rPr>
          <w:rFonts w:ascii="Times New Roman" w:hAnsi="Times New Roman"/>
          <w:b/>
          <w:sz w:val="24"/>
          <w:szCs w:val="24"/>
        </w:rPr>
        <w:t xml:space="preserve"> году</w:t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tbl>
      <w:tblPr>
        <w:tblW w:w="5073" w:type="pct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4154"/>
        <w:gridCol w:w="949"/>
        <w:gridCol w:w="993"/>
        <w:gridCol w:w="992"/>
        <w:gridCol w:w="992"/>
        <w:gridCol w:w="851"/>
        <w:gridCol w:w="708"/>
        <w:gridCol w:w="851"/>
        <w:gridCol w:w="850"/>
        <w:gridCol w:w="993"/>
        <w:gridCol w:w="850"/>
        <w:gridCol w:w="851"/>
        <w:gridCol w:w="1131"/>
      </w:tblGrid>
      <w:tr>
        <w:tblPrEx/>
        <w:trPr>
          <w:cantSplit/>
          <w:trHeight w:val="20"/>
          <w:tblHeader/>
        </w:trPr>
        <w:tc>
          <w:tcPr>
            <w:shd w:val="clear" w:color="auto" w:fill="ffffff"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br w:type="textWrapping" w:clear="all"/>
              <w:t xml:space="preserve">п/п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41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Наименование мероприятия (результата)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11"/>
            <w:shd w:val="clear" w:color="auto" w:fill="ffffff"/>
            <w:tcW w:w="98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Всего на конец 2025 года (тыс. рублей)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  <w:tr>
        <w:tblPrEx/>
        <w:trPr>
          <w:cantSplit/>
          <w:trHeight w:val="20"/>
          <w:tblHeader/>
        </w:trPr>
        <w:tc>
          <w:tcPr>
            <w:shd w:val="clear" w:color="auto" w:fill="ffffff"/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415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январь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февраль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апрель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август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сентябрь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октябрь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ноябрь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13"/>
            <w:shd w:val="clear" w:color="auto" w:fill="ffffff"/>
            <w:tcW w:w="151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41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Мероприятие (результат) «Строительство (реконструкция) объектов спорта (Капитальные вложения в объекты государственной (муниципальной) собственности)»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9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440 426,0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ffffff"/>
            <w:tcW w:w="47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ИТОГО: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440 426,0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</w:tbl>
    <w:p>
      <w:pPr>
        <w:contextualSpacing/>
        <w:jc w:val="center"/>
        <w:spacing w:after="0" w:line="240" w:lineRule="auto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  <w:outlineLvl w:val="3"/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sz w:val="24"/>
          <w:szCs w:val="24"/>
          <w:lang w:val="en-US" w:eastAsia="ru-RU"/>
        </w:rPr>
      </w:r>
      <w:r>
        <w:rPr>
          <w:rFonts w:ascii="Times New Roman" w:hAnsi="Times New Roman"/>
          <w:b/>
          <w:sz w:val="24"/>
          <w:szCs w:val="24"/>
          <w:lang w:val="en-US" w:eastAsia="ru-RU"/>
        </w:rPr>
      </w:r>
      <w:r>
        <w:rPr>
          <w:rFonts w:ascii="Times New Roman" w:hAnsi="Times New Roman"/>
          <w:b/>
          <w:sz w:val="24"/>
          <w:szCs w:val="24"/>
          <w:lang w:val="en-US" w:eastAsia="ru-RU"/>
        </w:rPr>
      </w:r>
    </w:p>
    <w:p>
      <w:pPr>
        <w:contextualSpacing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</w:p>
    <w:p>
      <w:pPr>
        <w:contextualSpacing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</w:p>
    <w:p>
      <w:pPr>
        <w:contextualSpacing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</w:p>
    <w:p>
      <w:pPr>
        <w:contextualSpacing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</w:p>
    <w:p>
      <w:pPr>
        <w:contextualSpacing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</w:p>
    <w:p>
      <w:pPr>
        <w:contextualSpacing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</w:p>
    <w:p>
      <w:pPr>
        <w:contextualSpacing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1057"/>
        <w:gridCol w:w="467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057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outlineLvl w:val="3"/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  <w:szCs w:val="24"/>
                <w:lang w:eastAsia="ru-RU"/>
              </w:rPr>
              <w:t xml:space="preserve">Приложение № 3</w:t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outlineLvl w:val="3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 паспорту 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муниципального проекта «Создание спортивной инфраструктуры и материально-технической базы для занятий физической культурой и спортом», не входящий в состав национального проекта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</w:tbl>
    <w:p>
      <w:pPr>
        <w:contextualSpacing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  <w:outlineLvl w:val="3"/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  <w:outlineLvl w:val="3"/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sz w:val="24"/>
          <w:szCs w:val="24"/>
          <w:lang w:val="en-US" w:eastAsia="ru-RU"/>
        </w:rPr>
        <w:t xml:space="preserve">План реализации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</w:t>
      </w:r>
      <w:r>
        <w:rPr>
          <w:rFonts w:ascii="Times New Roman" w:hAnsi="Times New Roman"/>
          <w:b/>
          <w:sz w:val="24"/>
          <w:szCs w:val="24"/>
          <w:lang w:val="en-US" w:eastAsia="ru-RU"/>
        </w:rPr>
        <w:t xml:space="preserve"> проекта</w:t>
      </w:r>
      <w:r>
        <w:rPr>
          <w:rFonts w:ascii="Times New Roman" w:hAnsi="Times New Roman"/>
          <w:b/>
          <w:sz w:val="24"/>
          <w:szCs w:val="24"/>
          <w:lang w:val="en-US" w:eastAsia="ru-RU"/>
        </w:rPr>
      </w:r>
      <w:r>
        <w:rPr>
          <w:rFonts w:ascii="Times New Roman" w:hAnsi="Times New Roman"/>
          <w:b/>
          <w:sz w:val="24"/>
          <w:szCs w:val="24"/>
          <w:lang w:val="en-US"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tbl>
      <w:tblPr>
        <w:tblW w:w="5073" w:type="pct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709"/>
        <w:gridCol w:w="2409"/>
        <w:gridCol w:w="992"/>
        <w:gridCol w:w="1134"/>
        <w:gridCol w:w="1417"/>
        <w:gridCol w:w="1418"/>
        <w:gridCol w:w="1559"/>
        <w:gridCol w:w="1276"/>
        <w:gridCol w:w="1134"/>
        <w:gridCol w:w="992"/>
        <w:gridCol w:w="1276"/>
        <w:gridCol w:w="1417"/>
      </w:tblGrid>
      <w:tr>
        <w:tblPrEx/>
        <w:trPr>
          <w:trHeight w:val="695"/>
          <w:tblHeader/>
        </w:trPr>
        <w:tc>
          <w:tcPr>
            <w:shd w:val="clear" w:color="auto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 п/п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Наименование мероприятия (результата), объекта мероприятия (результата),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контрольной точки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ffffff"/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Срок реализации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ffffff"/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Взаимосвязь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Ответственный исполнитель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Адрес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объекта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(в соответствии с ФИАС)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vertAlign w:val="superscript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vertAlign w:val="superscript"/>
                <w:lang w:eastAsia="ru-RU"/>
              </w:rPr>
            </w:r>
          </w:p>
        </w:tc>
        <w:tc>
          <w:tcPr>
            <w:gridSpan w:val="2"/>
            <w:shd w:val="clear" w:color="auto" w:fill="ffffff"/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Мощность объекта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Объем финансового обеспечения (тыс. руб.)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Вид документа и характеристика мероприятия (результата)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начало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окончание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предшественники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последователи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trike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trike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trike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trike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tbl>
      <w:tblPr>
        <w:tblW w:w="5073" w:type="pct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710"/>
        <w:gridCol w:w="2409"/>
        <w:gridCol w:w="992"/>
        <w:gridCol w:w="1134"/>
        <w:gridCol w:w="1417"/>
        <w:gridCol w:w="1417"/>
        <w:gridCol w:w="1559"/>
        <w:gridCol w:w="1276"/>
        <w:gridCol w:w="1134"/>
        <w:gridCol w:w="992"/>
        <w:gridCol w:w="1276"/>
        <w:gridCol w:w="1417"/>
      </w:tblGrid>
      <w:tr>
        <w:tblPrEx/>
        <w:trPr>
          <w:tblHeader/>
        </w:trPr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gridSpan w:val="10"/>
            <w:shd w:val="clear" w:color="auto" w:fill="ffffff"/>
            <w:tcW w:w="136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4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Мероприятие (результат) «Строительство (реконструкция) объектов спорта (Капитальные вложения в объекты государственной (муниципальной) собственности)»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01.01.2025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20.11.2026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888 000,9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Итоговый отчет о реализации мероприятия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1.1.1.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4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Мероприятие (результат) «Строительство (реконструкция) объектов спорта (Капитальные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вложения в объекты государственной (муниципальной) собственности)» в 2025 году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01.01.2025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31.12.2025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</w:t>
            </w:r>
            <w:r>
              <w:rPr>
                <w:rFonts w:ascii="Times New Roman" w:hAnsi="Times New Roman" w:cs="Times New Roman"/>
              </w:rPr>
              <w:t xml:space="preserve">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</w:t>
            </w:r>
            <w:r>
              <w:rPr>
                <w:rFonts w:ascii="Times New Roman" w:hAnsi="Times New Roman" w:cs="Times New Roman"/>
              </w:rPr>
              <w:t xml:space="preserve">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440 426,0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Итоговый отчет о реализации мероприятия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1.1.1.1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«Получение положительного заключения экспертизы по объекту </w:t>
            </w:r>
            <w:r>
              <w:rPr>
                <w:rFonts w:ascii="Times New Roman" w:hAnsi="Times New Roman" w:cs="Times New Roman"/>
                <w:color w:val="000000"/>
              </w:rPr>
              <w:t xml:space="preserve">«Строительство плавательного бассейна в г. Губкин»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12.03.2025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1.1.1.2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«Закупки включены в план закупок»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20.04.2025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/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закупок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1.1.1.3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«Закупка размещена на электронной площадке»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21.06.2025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Снимок экрана, отражающий размещение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1.1.1.4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«Заключен контракт на выполнение работ»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15.09.2025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30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1.2.1.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Мероприятие (результат) «Строительство (реконструкция) объектов спорта (Капитальные вложения в объекты государственной (муниципальной) собственности)» в 2026 году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01.01.2026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20.11.2026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447 574,9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Итоговый отчет о реализации мероприятия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1.2.2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«Выполнено 80% работ»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10.08.2026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форм КС-2, КС-3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1.2.3.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«Выполнено 100% работ»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10.10.2026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ввода объекта в эксплуатацию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1.2.4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"Итоговый отчет по направлению"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20.11.2026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p>
      <w:pPr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</w: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0772"/>
        <w:gridCol w:w="496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772" w:type="dxa"/>
            <w:textDirection w:val="lrTb"/>
            <w:noWrap w:val="false"/>
          </w:tcPr>
          <w:p>
            <w:pPr>
              <w:ind w:left="3"/>
              <w:jc w:val="center"/>
              <w:spacing w:after="0" w:line="259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  <w:szCs w:val="24"/>
                <w:lang w:eastAsia="ru-RU"/>
              </w:rPr>
              <w:t xml:space="preserve">Приложение № 4</w:t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1016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016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физической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3"/>
              <w:jc w:val="center"/>
              <w:spacing w:after="0" w:line="259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Губкинском городском округе Белгородской области»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  <w:t xml:space="preserve">IV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. Паспорт 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ведомственного проекта «Создание спортивной инфраструктуры и материально-технической базы для занятий физической культурой и спортом» 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t xml:space="preserve">(далее - 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ведомственный проект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t xml:space="preserve">)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outlineLvl w:val="2"/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t xml:space="preserve">1. Основные положения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</w:p>
    <w:p>
      <w:pPr>
        <w:contextualSpacing/>
        <w:jc w:val="center"/>
        <w:spacing w:before="120" w:after="120" w:line="240" w:lineRule="auto"/>
        <w:rPr>
          <w:rFonts w:ascii="Times New Roman" w:hAnsi="Times New Roman"/>
          <w:b/>
          <w:lang w:val="en-US" w:eastAsia="ru-RU"/>
        </w:rPr>
        <w:outlineLvl w:val="3"/>
      </w:pPr>
      <w:r>
        <w:rPr>
          <w:rFonts w:ascii="Times New Roman" w:hAnsi="Times New Roman"/>
          <w:b/>
          <w:lang w:val="en-US" w:eastAsia="ru-RU"/>
        </w:rPr>
      </w:r>
      <w:r>
        <w:rPr>
          <w:rFonts w:ascii="Times New Roman" w:hAnsi="Times New Roman"/>
          <w:b/>
          <w:lang w:val="en-US" w:eastAsia="ru-RU"/>
        </w:rPr>
      </w:r>
      <w:r>
        <w:rPr>
          <w:rFonts w:ascii="Times New Roman" w:hAnsi="Times New Roman"/>
          <w:b/>
          <w:lang w:val="en-US" w:eastAsia="ru-RU"/>
        </w:rPr>
      </w:r>
    </w:p>
    <w:tbl>
      <w:tblPr>
        <w:tblW w:w="5073" w:type="pct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58"/>
        <w:gridCol w:w="3065"/>
        <w:gridCol w:w="60"/>
        <w:gridCol w:w="2260"/>
        <w:gridCol w:w="4090"/>
      </w:tblGrid>
      <w:tr>
        <w:tblPrEx/>
        <w:trPr>
          <w:cantSplit/>
          <w:trHeight w:val="20"/>
        </w:trPr>
        <w:tc>
          <w:tcPr>
            <w:shd w:val="clear" w:color="auto" w:fill="ffffff"/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Краткое наименование ведомственного проекта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312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Создание спортивной инфраструктуры и материально-технической базы для занятий физической культурой и спортом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2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Срок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реализации проекта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40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Куратор ведомственного проекта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auto" w:fill="ffffff"/>
            <w:tcW w:w="94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Заместитель главы администрации по социальному развитию администрации Губкинского городского округа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Ответственный исполнитель ведомственного проекта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auto" w:fill="ffffff"/>
            <w:tcW w:w="94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Комитет градостроительной политики администрации Губкинского городского округа, председатель комитета градостроительной политики 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Соисполнители, участники ведомственного проекта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4"/>
            <w:tcW w:w="94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Управление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62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Целевые группы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auto" w:fill="ffffff"/>
            <w:tcW w:w="94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Жители Губкинского городского округа 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625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Связь с государственными программами (комплексными программами) Белгородской области и муниципальными программами (комплексными программами) Губкинского городского округа Белгородской области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306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Государственная программа Белгородской области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auto" w:fill="ffffff"/>
            <w:tcW w:w="6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Государственная программа Белгородской области «Развитие физической культуры и спорта Белгородской области»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625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306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Муниципальная программа Губкинского городского округа Белгородской области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auto" w:fill="ffffff"/>
            <w:tcW w:w="6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Муниципальная программа Губкинского городского округа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«Развитие физической культуры и спорта 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в Губкинском городском округе Белгородской области»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</w:tr>
    </w:tbl>
    <w:p>
      <w:pPr>
        <w:contextualSpacing/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  <w:outlineLvl w:val="3"/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sz w:val="24"/>
          <w:szCs w:val="24"/>
          <w:lang w:val="en-US" w:eastAsia="ru-RU"/>
        </w:rPr>
        <w:t xml:space="preserve">2. Показатели ведомственного проекта</w:t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969"/>
        <w:gridCol w:w="1134"/>
        <w:gridCol w:w="1276"/>
        <w:gridCol w:w="1134"/>
        <w:gridCol w:w="1135"/>
        <w:gridCol w:w="709"/>
        <w:gridCol w:w="709"/>
        <w:gridCol w:w="708"/>
        <w:gridCol w:w="709"/>
        <w:gridCol w:w="709"/>
        <w:gridCol w:w="709"/>
        <w:gridCol w:w="708"/>
        <w:gridCol w:w="1557"/>
      </w:tblGrid>
      <w:tr>
        <w:tblPrEx/>
        <w:trPr>
          <w:trHeight w:val="441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left="-108" w:right="-9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  <w:p>
            <w:pPr>
              <w:pStyle w:val="985"/>
              <w:ind w:left="-108" w:right="-9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п/п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3969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left="-121" w:right="-108" w:firstLine="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Наименование показателя ведомственного 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left="-63" w:right="-12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Признак возрастания/убывания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Единица измерения (по </w:t>
            </w:r>
            <w:hyperlink r:id="rId35" w:tooltip="https://login.consultant.ru/link/?req=doc&amp;base=LAW&amp;n=482062" w:history="1">
              <w:r>
                <w:rPr>
                  <w:rFonts w:ascii="Times New Roman" w:hAnsi="Times New Roman" w:cs="Times New Roman"/>
                  <w:b/>
                  <w:bCs/>
                  <w:color w:val="000000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)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gridSpan w:val="2"/>
            <w:tcW w:w="18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6"/>
            <w:tcW w:w="4252" w:type="dxa"/>
            <w:vAlign w:val="center"/>
            <w:textDirection w:val="lrTb"/>
            <w:noWrap w:val="false"/>
          </w:tcPr>
          <w:p>
            <w:pPr>
              <w:pStyle w:val="1023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Период, год</w:t>
            </w:r>
            <w:r>
              <w:rPr>
                <w:rFonts w:eastAsia="Calibri"/>
                <w:b/>
                <w:bCs/>
                <w:sz w:val="20"/>
                <w:szCs w:val="20"/>
              </w:rPr>
            </w:r>
            <w:r>
              <w:rPr>
                <w:rFonts w:eastAsia="Calibri"/>
                <w:b/>
                <w:bCs/>
                <w:sz w:val="20"/>
                <w:szCs w:val="20"/>
              </w:rPr>
            </w:r>
          </w:p>
        </w:tc>
        <w:tc>
          <w:tcPr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pStyle w:val="1023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Нарастающий итог</w:t>
            </w:r>
            <w:r>
              <w:rPr>
                <w:rFonts w:eastAsia="Calibri"/>
                <w:b/>
                <w:bCs/>
                <w:sz w:val="20"/>
                <w:szCs w:val="20"/>
              </w:rPr>
            </w:r>
            <w:r>
              <w:rPr>
                <w:rFonts w:eastAsia="Calibri"/>
                <w:b/>
                <w:bCs/>
                <w:sz w:val="20"/>
                <w:szCs w:val="20"/>
              </w:rPr>
            </w:r>
          </w:p>
        </w:tc>
      </w:tr>
      <w:tr>
        <w:tblPrEx/>
        <w:trPr>
          <w:tblHeader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69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557" w:type="dxa"/>
            <w:vMerge w:val="continue"/>
            <w:textDirection w:val="lrTb"/>
            <w:noWrap w:val="false"/>
          </w:tcPr>
          <w:p>
            <w:pPr>
              <w:spacing w:after="252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13"/>
            <w:tcW w:w="151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введенных в эксплуатацию объектов спортивной инфраструктуры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«ВП»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3. Помесячный план достижения показателей ведомственного проекта в 2025 году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825"/>
        <w:gridCol w:w="1133"/>
        <w:gridCol w:w="1134"/>
        <w:gridCol w:w="709"/>
        <w:gridCol w:w="709"/>
        <w:gridCol w:w="709"/>
        <w:gridCol w:w="709"/>
        <w:gridCol w:w="709"/>
        <w:gridCol w:w="709"/>
        <w:gridCol w:w="709"/>
        <w:gridCol w:w="567"/>
        <w:gridCol w:w="567"/>
        <w:gridCol w:w="709"/>
        <w:gridCol w:w="709"/>
        <w:gridCol w:w="1559"/>
      </w:tblGrid>
      <w:tr>
        <w:tblPrEx/>
        <w:trPr>
          <w:trHeight w:val="425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left="-108" w:right="-9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  <w:p>
            <w:pPr>
              <w:pStyle w:val="985"/>
              <w:ind w:left="-108" w:right="-9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п/п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left="-121" w:right="-108" w:firstLine="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Показатели ведомственного 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left="-63" w:right="-12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Единица измерения (по </w:t>
            </w:r>
            <w:hyperlink r:id="rId36" w:tooltip="https://login.consultant.ru/link/?req=doc&amp;base=LAW&amp;n=482062" w:history="1">
              <w:r>
                <w:rPr>
                  <w:rFonts w:ascii="Times New Roman" w:hAnsi="Times New Roman" w:cs="Times New Roman"/>
                  <w:b/>
                  <w:bCs/>
                  <w:color w:val="000000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)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gridSpan w:val="11"/>
            <w:tcW w:w="7512" w:type="dxa"/>
            <w:vAlign w:val="center"/>
            <w:textDirection w:val="lrTb"/>
            <w:noWrap w:val="false"/>
          </w:tcPr>
          <w:p>
            <w:pPr>
              <w:pStyle w:val="985"/>
              <w:ind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  <w:p>
            <w:pPr>
              <w:pStyle w:val="985"/>
              <w:ind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2025 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</w:tr>
      <w:tr>
        <w:tblPrEx/>
        <w:trPr>
          <w:trHeight w:val="27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янв.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фев.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сен.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нояб.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after="252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33"/>
        </w:trPr>
        <w:tc>
          <w:tcPr>
            <w:gridSpan w:val="16"/>
            <w:tcW w:w="15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outlineLvl w:val="1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введенных в эксплуатацию объектов спортивной инфраструктуры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«ВП»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единица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val="en-US" w:eastAsia="ru-RU"/>
        </w:rPr>
        <w:outlineLvl w:val="3"/>
      </w:pPr>
      <w:r>
        <w:rPr>
          <w:rFonts w:ascii="Times New Roman" w:hAnsi="Times New Roman"/>
          <w:b/>
          <w:sz w:val="24"/>
          <w:szCs w:val="24"/>
          <w:lang w:val="en-US" w:eastAsia="ru-RU"/>
        </w:rPr>
        <w:t xml:space="preserve">4. Мероприятия (результаты) ведомственного проекта</w:t>
      </w:r>
      <w:r>
        <w:rPr>
          <w:rFonts w:ascii="Times New Roman" w:hAnsi="Times New Roman"/>
          <w:b/>
          <w:sz w:val="24"/>
          <w:szCs w:val="24"/>
          <w:lang w:val="en-US" w:eastAsia="ru-RU"/>
        </w:rPr>
      </w:r>
      <w:r>
        <w:rPr>
          <w:rFonts w:ascii="Times New Roman" w:hAnsi="Times New Roman"/>
          <w:b/>
          <w:sz w:val="24"/>
          <w:szCs w:val="24"/>
          <w:lang w:val="en-US"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tbl>
      <w:tblPr>
        <w:tblW w:w="15732" w:type="dxa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6"/>
        <w:gridCol w:w="1559"/>
        <w:gridCol w:w="3260"/>
        <w:gridCol w:w="1134"/>
        <w:gridCol w:w="992"/>
        <w:gridCol w:w="709"/>
        <w:gridCol w:w="567"/>
        <w:gridCol w:w="567"/>
        <w:gridCol w:w="567"/>
        <w:gridCol w:w="567"/>
        <w:gridCol w:w="567"/>
        <w:gridCol w:w="567"/>
        <w:gridCol w:w="1276"/>
        <w:gridCol w:w="1417"/>
        <w:gridCol w:w="1417"/>
      </w:tblGrid>
      <w:tr>
        <w:tblPrEx/>
        <w:trPr>
          <w:trHeight w:val="230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left="-108" w:right="-9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п/п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Наименование мероприятия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(результата)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2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структурных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элементов муниципальных программ вместе с наименованием муниципальной программы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(по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ОКЕИ)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6"/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Значение мероприятия (результата), параметра характеристики мероприятия (результата) по годам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Тип мероприятия (результата)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Уровень мероприятия (результата)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Связь с показателям и </w:t>
            </w:r>
            <w:r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ведомственного</w:t>
            </w:r>
            <w:r>
              <w:rPr>
                <w:rFonts w:ascii="Times New Roman" w:hAnsi="Times New Roman"/>
                <w:b/>
                <w:bCs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проекта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509"/>
          <w:tblHeader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2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значение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год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3"/>
        </w:trPr>
        <w:tc>
          <w:tcPr>
            <w:gridSpan w:val="15"/>
            <w:tcW w:w="15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Строительство объектов муниципальной собственности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единица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«ВП»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введенных в эксплуатацию объектов спортивной инфраструктуры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5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1.1.1.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gridSpan w:val="14"/>
            <w:tcW w:w="1516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Предоставлены средства на строительство (реконструкцию) объектов спорта,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рамках которых осуществляются закупки товаров, работ и услуг в соответствии с пообъектным перечнем строительства, реконструкции и капитального ремонта объектов социальной сферы и развития жилищно-коммунальной инфраструктуры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spacing w:after="0" w:line="240" w:lineRule="auto"/>
        <w:widowControl w:val="off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eastAsia="ru-RU"/>
        </w:rPr>
        <w:outlineLvl w:val="3"/>
      </w:pPr>
      <w:r>
        <w:rPr>
          <w:rFonts w:ascii="Times New Roman" w:hAnsi="Times New Roman"/>
          <w:b/>
          <w:sz w:val="24"/>
          <w:szCs w:val="24"/>
          <w:lang w:val="en-US" w:eastAsia="ru-RU"/>
        </w:rPr>
        <w:t xml:space="preserve">5. Финансовое обеспечение реализации ведомственного проекта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  <w:lang w:eastAsia="ru-RU"/>
        </w:rPr>
      </w:r>
      <w:r>
        <w:rPr>
          <w:rFonts w:ascii="Times New Roman" w:hAnsi="Times New Roman"/>
          <w:b/>
          <w:color w:val="ff0000"/>
          <w:sz w:val="24"/>
          <w:szCs w:val="24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tbl>
      <w:tblPr>
        <w:tblW w:w="5073" w:type="pct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5534"/>
        <w:gridCol w:w="2403"/>
        <w:gridCol w:w="1134"/>
        <w:gridCol w:w="1134"/>
        <w:gridCol w:w="1134"/>
        <w:gridCol w:w="992"/>
        <w:gridCol w:w="992"/>
        <w:gridCol w:w="992"/>
        <w:gridCol w:w="850"/>
      </w:tblGrid>
      <w:tr>
        <w:tblPrEx/>
        <w:trPr>
          <w:trHeight w:val="20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 п/п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W w:w="55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Наименование мероприятия (результата) и источники финансирования</w:t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</w:p>
        </w:tc>
        <w:tc>
          <w:tcPr>
            <w:tcW w:w="24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Код бюджетной классификации</w:t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</w:p>
        </w:tc>
        <w:tc>
          <w:tcPr>
            <w:gridSpan w:val="7"/>
            <w:tcW w:w="72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</w:p>
        </w:tc>
      </w:tr>
      <w:tr>
        <w:tblPrEx/>
        <w:trPr>
          <w:trHeight w:val="20"/>
          <w:tblHeader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r>
          </w:p>
        </w:tc>
        <w:tc>
          <w:tcPr>
            <w:tcW w:w="240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pacing w:val="-2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gridSpan w:val="9"/>
            <w:tcW w:w="151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3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Мероприятие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 (результат) «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Строительство объектов муниципальной собственности»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03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82 816,0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82 816,0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34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24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855 1102 0630143080 400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82 816,0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82 816,0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34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областной бюджет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34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34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иные источники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53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Нераспределенный резерв (бюджет Губкинского городского округа Белгородской области)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gridSpan w:val="2"/>
            <w:tcW w:w="61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Итого по ведомственному проекту: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24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82 816,0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82 816,0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0"/>
        </w:trPr>
        <w:tc>
          <w:tcPr>
            <w:gridSpan w:val="2"/>
            <w:tcW w:w="6101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24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855 1102 0630143080 400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82 816,0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82 816,0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0"/>
        </w:trPr>
        <w:tc>
          <w:tcPr>
            <w:gridSpan w:val="2"/>
            <w:tcW w:w="6101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областной бюджет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0"/>
        </w:trPr>
        <w:tc>
          <w:tcPr>
            <w:gridSpan w:val="2"/>
            <w:tcW w:w="6101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gridSpan w:val="2"/>
            <w:tcW w:w="6101" w:type="dxa"/>
            <w:textDirection w:val="lrTb"/>
            <w:noWrap w:val="false"/>
          </w:tcPr>
          <w:p>
            <w:pPr>
              <w:spacing w:after="0" w:line="233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иные источники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4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  <w:outlineLvl w:val="3"/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6. Помесячный план исполнения бюджета</w:t>
      </w:r>
      <w:r>
        <w:rPr>
          <w:rFonts w:ascii="Times New Roman" w:hAnsi="Times New Roman"/>
          <w:b/>
          <w:sz w:val="24"/>
          <w:szCs w:val="24"/>
        </w:rPr>
        <w:t xml:space="preserve"> Губкинского городского округа Белгородской области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в части бюджетных ассигнований, предусмотренных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на финансовое обеспечение реализации ведомственного проекта </w:t>
      </w:r>
      <w:r>
        <w:rPr>
          <w:rFonts w:ascii="Times New Roman" w:hAnsi="Times New Roman"/>
          <w:b/>
          <w:sz w:val="24"/>
          <w:szCs w:val="24"/>
        </w:rPr>
        <w:t xml:space="preserve">в </w:t>
      </w:r>
      <w:r>
        <w:rPr>
          <w:rFonts w:ascii="Times New Roman" w:hAnsi="Times New Roman"/>
          <w:b/>
          <w:sz w:val="24"/>
          <w:szCs w:val="24"/>
        </w:rPr>
        <w:t xml:space="preserve">2025</w:t>
      </w:r>
      <w:r>
        <w:rPr>
          <w:rFonts w:ascii="Times New Roman" w:hAnsi="Times New Roman"/>
          <w:b/>
          <w:sz w:val="24"/>
          <w:szCs w:val="24"/>
        </w:rPr>
        <w:t xml:space="preserve"> году</w:t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tbl>
      <w:tblPr>
        <w:tblW w:w="5073" w:type="pct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850"/>
        <w:gridCol w:w="850"/>
        <w:gridCol w:w="850"/>
        <w:gridCol w:w="850"/>
        <w:gridCol w:w="992"/>
        <w:gridCol w:w="850"/>
        <w:gridCol w:w="850"/>
        <w:gridCol w:w="992"/>
        <w:gridCol w:w="1134"/>
        <w:gridCol w:w="992"/>
        <w:gridCol w:w="853"/>
        <w:gridCol w:w="1701"/>
      </w:tblGrid>
      <w:tr>
        <w:tblPrEx/>
        <w:trPr>
          <w:cantSplit/>
          <w:trHeight w:val="403"/>
          <w:tblHeader/>
        </w:trPr>
        <w:tc>
          <w:tcPr>
            <w:shd w:val="clear" w:color="auto" w:fill="ffffff"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br w:type="textWrapping" w:clear="all"/>
              <w:t xml:space="preserve">п/п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Наименование мероприятия (результата)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11"/>
            <w:shd w:val="clear" w:color="auto" w:fill="ffffff"/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Всего на конец 2025 года (тыс. рублей)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  <w:tr>
        <w:tblPrEx/>
        <w:trPr>
          <w:cantSplit/>
          <w:trHeight w:val="20"/>
          <w:tblHeader/>
        </w:trPr>
        <w:tc>
          <w:tcPr>
            <w:shd w:val="clear" w:color="auto" w:fill="ffffff"/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январь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февраль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апрель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август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сентябрь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октябрь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ноябрь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13"/>
            <w:shd w:val="clear" w:color="auto" w:fill="ffffff"/>
            <w:tcW w:w="151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Мероприятие (результат)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Строительство объектов муниципальной собственности»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82 816,0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ffffff"/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ИТОГО: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82 816,0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</w:tbl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1057"/>
        <w:gridCol w:w="467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057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outlineLvl w:val="3"/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Приложение № 5</w:t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outlineLvl w:val="3"/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к паспорту </w:t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ведомственного проекта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r>
          </w:p>
        </w:tc>
      </w:tr>
    </w:tbl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  <w:outlineLvl w:val="3"/>
      </w:pPr>
      <w:r>
        <w:rPr>
          <w:rFonts w:ascii="Times New Roman" w:hAnsi="Times New Roman"/>
          <w:b/>
          <w:color w:val="000000" w:themeColor="text1"/>
          <w:sz w:val="24"/>
          <w:szCs w:val="24"/>
          <w:lang w:val="en-US" w:eastAsia="ru-RU"/>
        </w:rPr>
        <w:t xml:space="preserve">План реализации ведомственного проекта</w:t>
      </w:r>
      <w:r>
        <w:rPr>
          <w:rFonts w:ascii="Times New Roman" w:hAnsi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/>
          <w:b/>
          <w:color w:val="000000" w:themeColor="text1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/>
          <w:color w:val="000000" w:themeColor="text1"/>
          <w:sz w:val="20"/>
          <w:szCs w:val="20"/>
        </w:rPr>
      </w:r>
    </w:p>
    <w:tbl>
      <w:tblPr>
        <w:tblW w:w="5073" w:type="pct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850"/>
        <w:gridCol w:w="2268"/>
        <w:gridCol w:w="992"/>
        <w:gridCol w:w="1134"/>
        <w:gridCol w:w="1417"/>
        <w:gridCol w:w="1418"/>
        <w:gridCol w:w="1417"/>
        <w:gridCol w:w="1276"/>
        <w:gridCol w:w="1134"/>
        <w:gridCol w:w="992"/>
        <w:gridCol w:w="1276"/>
        <w:gridCol w:w="1559"/>
      </w:tblGrid>
      <w:tr>
        <w:tblPrEx/>
        <w:trPr>
          <w:tblHeader/>
        </w:trPr>
        <w:tc>
          <w:tcPr>
            <w:shd w:val="clear" w:color="auto" w:fill="ffffff"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 п/п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Наименование мероприятия (результата), объекта мероприятия (результата),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контрольной точки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ffffff"/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Срок реализации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ffffff"/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Взаимосвязь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Ответствен-ный исполнитель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Адрес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объекта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(в соответствии с ФИАС)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vertAlign w:val="superscript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vertAlign w:val="superscript"/>
                <w:lang w:eastAsia="ru-RU"/>
              </w:rPr>
            </w:r>
          </w:p>
        </w:tc>
        <w:tc>
          <w:tcPr>
            <w:gridSpan w:val="2"/>
            <w:shd w:val="clear" w:color="auto" w:fill="ffffff"/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Мощность объекта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Объем финансового обеспечения (тыс. руб.)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Вид документа и характеристика мероприятия (результата)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начало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окончание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предшественники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последователи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trike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trike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trike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trike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  <w:r>
        <w:rPr>
          <w:rFonts w:ascii="Times New Roman" w:hAnsi="Times New Roman" w:eastAsia="Times New Roman"/>
          <w:sz w:val="2"/>
          <w:szCs w:val="2"/>
          <w:lang w:eastAsia="ru-RU"/>
        </w:rPr>
      </w:r>
    </w:p>
    <w:tbl>
      <w:tblPr>
        <w:tblW w:w="5073" w:type="pct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851"/>
        <w:gridCol w:w="2268"/>
        <w:gridCol w:w="992"/>
        <w:gridCol w:w="1134"/>
        <w:gridCol w:w="1417"/>
        <w:gridCol w:w="1417"/>
        <w:gridCol w:w="1417"/>
        <w:gridCol w:w="1276"/>
        <w:gridCol w:w="1134"/>
        <w:gridCol w:w="992"/>
        <w:gridCol w:w="1276"/>
        <w:gridCol w:w="1559"/>
      </w:tblGrid>
      <w:tr>
        <w:tblPrEx/>
        <w:trPr>
          <w:tblHeader/>
        </w:trPr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Arial Unicode MS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gridSpan w:val="10"/>
            <w:shd w:val="clear" w:color="auto" w:fill="ffffff"/>
            <w:tcW w:w="133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«Создание спортивной инфраструктуры и материально-технической базы для занятий физической культурой и спортом»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Мероприятие (результат)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Строительство объектов муниципальной собственности»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01.01.2025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31.12.2025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82 816,0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Итоговый отчет о реализации мероприятия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1.1.1.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Мероприятие (результат)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Строительство объектов муниципальной собственности»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 в 2025 году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01.01.2025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31.12.2025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82 816,0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Итоговый отчет о реализации мероприятия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1.1.1.1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«Получение положительного заключения экспертизы по объекту «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color w:val="000000"/>
              </w:rPr>
              <w:t xml:space="preserve">физкультурно-оздоровительного комплекса в г. Губкин»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12.03.2025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1.1.1.2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«Закупки включены в план закупок»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20.04.2025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закупок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1.1.1.3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«Закупка размещена на электронной площадке»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15.05.2025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Снимок экрана, отражающий размещение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1.1.1.4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«Заключен контракт на выполнение работ»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15.06.2025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1.1.1.5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«Выполнено 80% работ»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20.09.2025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форм КС-2, КС-3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1.1.1.6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«Выполнено 100% работ»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15.12.2025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ввода объекта в эксплуатацию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1.1.1.8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«Итоговый отчет по направлению»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25.12.2025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1.2.1.1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«Получение положительного заключения экспертизы по объекту «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Строительство фиджитал центра в 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Губкин»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12.03.2025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1.2.1.2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«Закупки включены в план закупок»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20.04.2025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закупок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1.2.1.3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«Закупка размещена на электронной площадке»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15.05.2025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Снимок экрана, отражающий размещение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1.2.1.4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«Заключен контракт на выполнение работ»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15.06.2025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1.2.1.5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«Выполнено 80% работ»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20.09.2025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форм КС-2, КС-3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1.2.1.6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«Выполнено 100% работ»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15.12.2025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ввода объекта в эксплуатацию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1.2.1.7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 xml:space="preserve">«Итоговый отчет по направлению»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25.12.2025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</w:t>
            </w:r>
            <w:r>
              <w:rPr>
                <w:rFonts w:ascii="Times New Roman" w:hAnsi="Times New Roman" w:cs="Times New Roman"/>
              </w:rPr>
              <w:t xml:space="preserve">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Взаимосвязь с </w:t>
            </w:r>
            <w:r>
              <w:rPr>
                <w:rFonts w:ascii="Times New Roman" w:hAnsi="Times New Roman" w:cs="Times New Roman"/>
              </w:rPr>
              <w:t xml:space="preserve">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«Управление капитального строительства»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p>
      <w:pPr>
        <w:spacing w:after="252" w:line="240" w:lineRule="auto"/>
        <w:widowControl w:val="off"/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pP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  <w:r>
        <w:rPr>
          <w:rFonts w:ascii="Times New Roman" w:hAnsi="Times New Roman" w:eastAsia="Times New Roman"/>
          <w:b/>
          <w:bCs/>
          <w:color w:val="0000ff"/>
          <w:sz w:val="2"/>
          <w:szCs w:val="2"/>
          <w:lang w:eastAsia="ru-RU"/>
        </w:rPr>
      </w:r>
    </w:p>
    <w:tbl>
      <w:tblPr>
        <w:tblW w:w="157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773"/>
        <w:gridCol w:w="495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7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Приложение № 6</w:t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pStyle w:val="101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 муниципальной программе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101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«Развитие физической культуры и спорта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в Губкинском городском округе Белгородской области»</w:t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</w:r>
          </w:p>
        </w:tc>
      </w:tr>
    </w:tbl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  <w:lang w:val="en-US" w:eastAsia="ru-RU"/>
        </w:rPr>
        <w:t xml:space="preserve">V</w:t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  <w:lang w:eastAsia="ru-RU"/>
        </w:rPr>
        <w:t xml:space="preserve">. Паспорт </w:t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комплекса процессных мероприятий «Мероприятия по осуществлению спортивной подготовки»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t xml:space="preserve"> (далее - комплекс процессных мероприятий 1)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outlineLvl w:val="2"/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t xml:space="preserve">1. Общие положения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outlineLvl w:val="2"/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1196"/>
      </w:tblGrid>
      <w:tr>
        <w:tblPrEx/>
        <w:trPr/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Ответственное структурное подразделение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администрации Губкинского городского округа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19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Управление физической культуры и спорта администрации Губкинского городского округа, начальник управления 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3"/>
        </w:trPr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Связь с муниципальной программой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19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«Развитие физической культуры и спорта в Губкинском городском округе Белгородской области»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80008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80008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80008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800080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  <w:outlineLvl w:val="2"/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2. Показатели комплекса процессных мероприятий 1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967"/>
        <w:gridCol w:w="1275"/>
        <w:gridCol w:w="1134"/>
        <w:gridCol w:w="1134"/>
        <w:gridCol w:w="1134"/>
        <w:gridCol w:w="567"/>
        <w:gridCol w:w="709"/>
        <w:gridCol w:w="709"/>
        <w:gridCol w:w="709"/>
        <w:gridCol w:w="709"/>
        <w:gridCol w:w="709"/>
        <w:gridCol w:w="709"/>
        <w:gridCol w:w="1701"/>
      </w:tblGrid>
      <w:tr>
        <w:tblPrEx/>
        <w:trPr>
          <w:trHeight w:val="152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left="-108" w:right="-9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  <w:p>
            <w:pPr>
              <w:pStyle w:val="985"/>
              <w:ind w:left="-108" w:right="-9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п/п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3969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left="-121" w:right="-108" w:firstLine="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Наименование показателя/задачи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Признак возрастания/убывания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left="-63" w:right="-12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Единица измерения (по </w:t>
            </w:r>
            <w:hyperlink r:id="rId37" w:tooltip="https://login.consultant.ru/link/?req=doc&amp;base=LAW&amp;n=482062" w:history="1">
              <w:r>
                <w:rPr>
                  <w:rFonts w:ascii="Times New Roman" w:hAnsi="Times New Roman" w:cs="Times New Roman"/>
                  <w:b/>
                  <w:bCs/>
                  <w:color w:val="000000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)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gridSpan w:val="2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6"/>
            <w:tcW w:w="4252" w:type="dxa"/>
            <w:vAlign w:val="center"/>
            <w:textDirection w:val="lrTb"/>
            <w:noWrap w:val="false"/>
          </w:tcPr>
          <w:p>
            <w:pPr>
              <w:pStyle w:val="985"/>
              <w:ind w:firstLine="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Значение показателей по годам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hanging="8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>
          <w:trHeight w:val="139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69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252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13"/>
            <w:tcW w:w="151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«Обеспечение деятельности (оказание услуг) муниципальных учреждений (организаций) в области физической культуры и спорта»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граждан, занимающихся в спортивных учреждениях, в общей численности детей и молодежи в возрасте от 6 до 15 лет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«КПМ»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49,2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</w:t>
            </w:r>
            <w:r>
              <w:rPr>
                <w:rFonts w:ascii="Times New Roman" w:hAnsi="Times New Roman" w:cs="Times New Roman"/>
              </w:rPr>
              <w:t xml:space="preserve">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Численность квалифицированных тренеров и тренеров-преподавателей физкультурно-спортивных организаций, работающих по специальности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«КПМ»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человек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Помесячный план достижения показателей комплекса процессных мероприятий 1 в 2025 году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825"/>
        <w:gridCol w:w="1133"/>
        <w:gridCol w:w="1134"/>
        <w:gridCol w:w="709"/>
        <w:gridCol w:w="709"/>
        <w:gridCol w:w="850"/>
        <w:gridCol w:w="709"/>
        <w:gridCol w:w="709"/>
        <w:gridCol w:w="709"/>
        <w:gridCol w:w="709"/>
        <w:gridCol w:w="709"/>
        <w:gridCol w:w="709"/>
        <w:gridCol w:w="709"/>
        <w:gridCol w:w="709"/>
        <w:gridCol w:w="1134"/>
      </w:tblGrid>
      <w:tr>
        <w:tblPrEx/>
        <w:trPr>
          <w:trHeight w:val="473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left="-108" w:right="-9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  <w:p>
            <w:pPr>
              <w:pStyle w:val="985"/>
              <w:ind w:left="-108" w:right="-9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п/п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right="-12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Единица измерения (по </w:t>
            </w:r>
            <w:hyperlink r:id="rId38" w:tooltip="https://login.consultant.ru/link/?req=doc&amp;base=LAW&amp;n=482062" w:history="1">
              <w:r>
                <w:rPr>
                  <w:rFonts w:ascii="Times New Roman" w:hAnsi="Times New Roman" w:cs="Times New Roman"/>
                  <w:b/>
                  <w:bCs/>
                  <w:color w:val="000000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)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gridSpan w:val="11"/>
            <w:tcW w:w="7937" w:type="dxa"/>
            <w:vAlign w:val="center"/>
            <w:textDirection w:val="lrTb"/>
            <w:noWrap w:val="false"/>
          </w:tcPr>
          <w:p>
            <w:pPr>
              <w:pStyle w:val="985"/>
              <w:ind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 конец 2025 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</w:tr>
      <w:tr>
        <w:tblPrEx/>
        <w:trPr>
          <w:tblHeader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янв.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фев.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сен.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нояб.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252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33"/>
        </w:trPr>
        <w:tc>
          <w:tcPr>
            <w:gridSpan w:val="16"/>
            <w:tcW w:w="15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«Обеспечение деятельности (оказание услуг) муниципальных учреждений (организаций) в области физической культуры и спорта»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граждан, занимающихся в спортивных учреждениях, в общей численности детей и молодежи в возрасте от 6 до 15 лет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«КПМ»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40,5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Численность квалифицированных тренеров и тренеров-преподавателей физкультурно-спортивных организаций, работающих по специальности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«КПМ»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человек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62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  <w:outlineLvl w:val="2"/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4. Перечень мероприятий (результатов) комплекса процессных мероприятий 1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tbl>
      <w:tblPr>
        <w:tblW w:w="0" w:type="auto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2268"/>
        <w:gridCol w:w="1276"/>
        <w:gridCol w:w="1134"/>
        <w:gridCol w:w="709"/>
        <w:gridCol w:w="709"/>
        <w:gridCol w:w="709"/>
        <w:gridCol w:w="709"/>
        <w:gridCol w:w="709"/>
        <w:gridCol w:w="709"/>
        <w:gridCol w:w="709"/>
        <w:gridCol w:w="2409"/>
      </w:tblGrid>
      <w:tr>
        <w:tblPrEx/>
        <w:trPr/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Единица измерения (по </w:t>
            </w:r>
            <w:hyperlink r:id="rId39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eastAsia="Times New Roman"/>
                  <w:b/>
                  <w:bCs/>
                  <w:color w:val="000000"/>
                  <w:sz w:val="20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gridSpan w:val="2"/>
            <w:tcW w:w="184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gridSpan w:val="6"/>
            <w:tcW w:w="425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Значения мероприятия (результата), 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13"/>
            <w:tcW w:w="15732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«Обеспечение деятельности (оказание услуг) муниципальных учреждений (организаций) в области физической культуры и спорта»</w:t>
            </w:r>
            <w:r>
              <w:rPr>
                <w:rFonts w:ascii="Arial" w:hAnsi="Arial" w:eastAsia="Times New Roman" w:cs="Arial"/>
                <w:sz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(оказания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текущей деятельности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285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288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290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292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295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300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305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Доля граждан, занимающихся в спортивных учреждениях, в общей численности детей и молодежи в возрасте от 6 до 15 лет. Численность квалифицированных тренеров и тренеров-преподавателей физкультурно-спортивных организаций, работающих по специальности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gridSpan w:val="12"/>
            <w:tcW w:w="1516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материального обеспечения деятельности подведомственных учреждений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управления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физической культуры и спорта администрации Губкинского городского округа, включая фонд оплаты труда, эксплуатацию и текущий ремонт административн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ого здания, оплату коммунальных услуг и иных хозяйственных расходов, арендных платежей, осуществление закупок канцелярских принадлежностей, офисной мебели и иных закупок, а также уплату налогов, прочих сборов, исполнение судебных актов Российской Федерации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Финансовое обеспечение комплекса процессных мероприятий 1</w:t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0" w:type="auto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244"/>
        <w:gridCol w:w="2409"/>
        <w:gridCol w:w="1134"/>
        <w:gridCol w:w="1134"/>
        <w:gridCol w:w="1134"/>
        <w:gridCol w:w="1134"/>
        <w:gridCol w:w="1134"/>
        <w:gridCol w:w="1134"/>
        <w:gridCol w:w="1276"/>
      </w:tblGrid>
      <w:tr>
        <w:tblPrEx/>
        <w:trPr/>
        <w:tc>
          <w:tcPr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Наименование мероприятия (результата) /источник финансового обеспечения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7"/>
            <w:tcW w:w="80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4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2025 год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2026 год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2027 год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2028 год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2029 год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2030 год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всего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Комплекс процессных мероприятий «Мероприятия по осуществлению спортивной подготовки» (всего), в том числе: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318 933,0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261 038,0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272 162,0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272 162,0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272 162,0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272 162,0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1 668 619,0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293 733,0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235 838,0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246 962,0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246 962,0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246 962,0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246 962,0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1 517 419,0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25 200,0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25 200,0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25 200,0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25 200,0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25 200,0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25 200,0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151 200,0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466"/>
        </w:trPr>
        <w:tc>
          <w:tcPr>
            <w:tcW w:w="5244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«Обеспечение деятельности (оказания услуг) подведомственных учреждений (организаций), в том числе предоставление муниципальным бюджетным и автономным учреждениям субсидий»,</w:t>
            </w:r>
            <w:r>
              <w:rPr>
                <w:rFonts w:ascii="Times New Roman" w:hAnsi="Times New Roman" w:cs="Times New Roman"/>
                <w:b/>
              </w:rPr>
              <w:t xml:space="preserve"> всего, в том числе: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318 933,0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261 038,0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272 162,0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272 162,0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272 162,0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272 162,0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1 668 619,0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874 1102 0640120590 600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874 1103 0640120590 600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293 733,0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235 838,0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246 962,0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246 962,0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246 962,0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246 962,0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1 517 419,0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25 200,0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25 200,0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25 200,0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25 200,0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25 200,0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25 200,0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151 200,0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1057"/>
        <w:gridCol w:w="467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0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№ 6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 паспорту комплекса процессных мероприятий «Мероприятия по осуществлению спортивной подготовки»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План реализации комплекса процессных мероприятий 1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0" w:type="auto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6721"/>
        <w:gridCol w:w="2246"/>
        <w:gridCol w:w="3775"/>
        <w:gridCol w:w="2140"/>
      </w:tblGrid>
      <w:tr>
        <w:tblPrEx/>
        <w:trPr>
          <w:tblHeader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п/п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6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Задача, мероприятие (результат) / контрольная точка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2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Дата наступления контрольной точки (день, месяц)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1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Вид подтверждающего документа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4"/>
            <w:tcW w:w="14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Задача 1 «Обеспечение деятельности (оказание услуг) муниципальных учреждений (организаций) в области физической культуры и спорта»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«Обеспечение деятельности (оказания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«Обеспечение деятельности (оказания услуг) подведомственных учреждений (организаций), в том числе предоставление муниципальным бюджетным и автономным учреждениям субсидий» в 2025 году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«Муниципальное задание на оказание муниципальных услуг (выполнение работ) утверждено (включено в реестр муниципальных заданий)»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20.01.2025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задание на оказание муниципальных услуг (выполнение работ)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«Соглашение о порядке и условиях предоставления субсидии на выполнение муниципального задания на оказание муниципальных услуг (выполнение работ) заключено (включено в реестр соглашений)»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20.01.2025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1.1.1.3.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25.12.2025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Руководители учреждений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 о выполнении муниципального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1.1.1.4.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25.12.2025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Руководители учреждений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«Обеспечение деятельности (оказания услуг) подведомственных учреждений (организаций), в том числе предоставление муниципальным бюджетным и автономным учреждениям субсидий» в 2026 году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1.1.2.1.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«Муниципальное задание на оказание муниципальных услуг (выполнение работ) утверждено (включено в реестр муниципальных заданий)»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20.01.2026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задание на оказание муниципальных услуг (выполнение работ)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1.1.2.2.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«Соглашение о порядке и условиях предоставления субсидии на выполнение муниципального задания на оказание муниципальных услуг (выполнение работ) заключено (включено в реестр соглашений)»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20.01.2026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1.1.2.3.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25.12.2026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Руководители учреждений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 о выполнении муниципального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1.1.3.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«Обеспечение деятельности (оказания услуг) подведомственных учреждений (организаций), в том числе предоставление муниципальным бюджетным и автономным учреждениям субсидий» в 2027 году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1.1.3.1.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«Муниципальное задание на оказание муниципальных </w:t>
            </w:r>
            <w:r>
              <w:rPr>
                <w:rFonts w:ascii="Times New Roman" w:hAnsi="Times New Roman" w:cs="Times New Roman"/>
              </w:rPr>
              <w:t xml:space="preserve">услуг (выполнение работ) утверждено (включено в реестр муниципальных заданий)»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20.01.2027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физической культуры и </w:t>
            </w:r>
            <w:r>
              <w:rPr>
                <w:rFonts w:ascii="Times New Roman" w:hAnsi="Times New Roman" w:cs="Times New Roman"/>
              </w:rPr>
              <w:t xml:space="preserve">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</w:t>
            </w:r>
            <w:r>
              <w:rPr>
                <w:rFonts w:ascii="Times New Roman" w:hAnsi="Times New Roman" w:cs="Times New Roman"/>
              </w:rPr>
              <w:t xml:space="preserve">задание на оказание муниципальных услуг (выполнение работ)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1.1.3.2.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«Соглашение о порядке и условиях предоставления субсидии на выполнение муниципального задания на оказание муниципальных услуг (выполнение работ) заключено (включено в реестр соглашений)»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20.01.2027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1.1.3.3.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25.12.2027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Руководители учреждений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 о выполнении муниципального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1.1.3.4.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pStyle w:val="9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25.12.2027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Руководители учреждений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0630"/>
        <w:gridCol w:w="5102"/>
      </w:tblGrid>
      <w:tr>
        <w:tblPrEx/>
        <w:trPr>
          <w:trHeight w:val="85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630" w:type="dxa"/>
            <w:textDirection w:val="lrTb"/>
            <w:noWrap w:val="false"/>
          </w:tcPr>
          <w:p>
            <w:pPr>
              <w:ind w:left="3"/>
              <w:jc w:val="center"/>
              <w:spacing w:after="0" w:line="259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2" w:type="dxa"/>
            <w:textDirection w:val="lrTb"/>
            <w:noWrap w:val="false"/>
          </w:tcPr>
          <w:p>
            <w:pPr>
              <w:ind w:left="3"/>
              <w:jc w:val="center"/>
              <w:spacing w:after="0" w:line="259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Приложение № 7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3"/>
              <w:jc w:val="center"/>
              <w:spacing w:after="0" w:line="259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 муниципальной программе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3"/>
              <w:jc w:val="center"/>
              <w:spacing w:after="0" w:line="259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«Развитие физической культуры и спорта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3"/>
              <w:jc w:val="center"/>
              <w:spacing w:after="0" w:line="259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Губкинском городском округе Белгородской области»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  <w:t xml:space="preserve">VI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. Паспорт 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комплекса процессных мероприятий «Проведение физкультурно-массовых и спортивных мероприятий»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3"/>
        <w:jc w:val="center"/>
        <w:spacing w:after="0" w:line="259" w:lineRule="auto"/>
        <w:widowControl w:val="off"/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t xml:space="preserve"> (далее - комплекс процессных мероприятий 2)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 w:themeColor="text1"/>
          <w:sz w:val="24"/>
          <w:szCs w:val="24"/>
        </w:rPr>
        <w:outlineLvl w:val="2"/>
      </w:pPr>
      <w:r>
        <w:rPr>
          <w:rFonts w:ascii="Times New Roman" w:hAnsi="Times New Roman" w:eastAsia="Times New Roman"/>
          <w:b/>
          <w:color w:val="000000" w:themeColor="text1"/>
          <w:sz w:val="24"/>
          <w:szCs w:val="24"/>
          <w:lang w:eastAsia="ru-RU"/>
        </w:rPr>
        <w:t xml:space="preserve">1. Общие положения</w:t>
      </w:r>
      <w:r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 w:themeColor="text1"/>
          <w:sz w:val="24"/>
          <w:szCs w:val="24"/>
        </w:rPr>
        <w:outlineLvl w:val="2"/>
      </w:pPr>
      <w:r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1196"/>
      </w:tblGrid>
      <w:tr>
        <w:tblPrEx/>
        <w:trPr/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Ответственное структурное подразделение 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администрации Губкинского городского округа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19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Управление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 физической культуры и спорта администрации Губкинского городского округа, начальник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управления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 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Связь с муниципальной программой 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19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«Развитие физической культуры и спорта в Губкинском городском округе Белгородской области»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 w:themeColor="text1"/>
          <w:sz w:val="24"/>
          <w:szCs w:val="24"/>
        </w:rPr>
        <w:outlineLvl w:val="2"/>
      </w:pPr>
      <w:r>
        <w:rPr>
          <w:rFonts w:ascii="Times New Roman" w:hAnsi="Times New Roman" w:eastAsia="Times New Roman"/>
          <w:b/>
          <w:color w:val="000000" w:themeColor="text1"/>
          <w:sz w:val="24"/>
          <w:szCs w:val="24"/>
          <w:lang w:eastAsia="ru-RU"/>
        </w:rPr>
        <w:t xml:space="preserve">2. Показатели комплекса процессных мероприятий 2</w:t>
      </w:r>
      <w:r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color w:val="000000" w:themeColor="text1"/>
          <w:sz w:val="24"/>
          <w:szCs w:val="24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683"/>
        <w:gridCol w:w="1276"/>
        <w:gridCol w:w="1134"/>
        <w:gridCol w:w="1134"/>
        <w:gridCol w:w="1134"/>
        <w:gridCol w:w="709"/>
        <w:gridCol w:w="709"/>
        <w:gridCol w:w="709"/>
        <w:gridCol w:w="709"/>
        <w:gridCol w:w="709"/>
        <w:gridCol w:w="709"/>
        <w:gridCol w:w="709"/>
        <w:gridCol w:w="1842"/>
      </w:tblGrid>
      <w:tr>
        <w:tblPrEx/>
        <w:trPr/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ind w:left="-108" w:right="-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  <w:p>
            <w:pPr>
              <w:ind w:left="-108" w:right="-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ind w:left="-121" w:right="-108" w:firstLine="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Признак возрастания/убывания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63" w:right="-12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40" w:tooltip="https://login.consultant.ru/link/?req=doc&amp;base=LAW&amp;n=482062" w:history="1">
              <w:r>
                <w:rPr>
                  <w:rFonts w:ascii="Times New Roman" w:hAnsi="Times New Roman" w:eastAsia="Times New Roman"/>
                  <w:b/>
                  <w:bCs/>
                  <w:color w:val="000000" w:themeColor="text1"/>
                  <w:sz w:val="20"/>
                  <w:szCs w:val="20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gridSpan w:val="2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252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gridSpan w:val="6"/>
            <w:tcW w:w="425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hanging="8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56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685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spacing w:after="252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gridSpan w:val="13"/>
            <w:tcW w:w="151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Задача 1 «Организация событийных спортивных мероприятий на территории Губкинского городского округа»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Численность человек, принявших участие в физкультурно-массовых и спортивных мероприятиях, проводимых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управлением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 физической культурой и спорта администрации Губкинского городского округа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«П»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«КПМ»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lang w:eastAsia="ru-RU"/>
              </w:rPr>
              <w:t xml:space="preserve">Тыс. человек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lang w:eastAsia="ru-RU"/>
              </w:rPr>
              <w:t xml:space="preserve">13,3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16,5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18,0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19,5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lang w:eastAsia="ru-RU"/>
              </w:rPr>
              <w:t xml:space="preserve">21,0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lang w:eastAsia="ru-RU"/>
              </w:rPr>
              <w:t xml:space="preserve">23,0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lang w:eastAsia="ru-RU"/>
              </w:rPr>
              <w:t xml:space="preserve">25,0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Управление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 физической культуры и спорта</w:t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  <w:lang w:eastAsia="ru-RU"/>
        </w:rPr>
        <w:t xml:space="preserve">3. Помесячный план достижения показателей комплекса процессных мероприятий 2 в 2025 году</w:t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/>
          <w:b/>
          <w:color w:val="000000" w:themeColor="text1"/>
          <w:sz w:val="24"/>
          <w:szCs w:val="24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967"/>
        <w:gridCol w:w="1133"/>
        <w:gridCol w:w="1134"/>
        <w:gridCol w:w="709"/>
        <w:gridCol w:w="709"/>
        <w:gridCol w:w="709"/>
        <w:gridCol w:w="709"/>
        <w:gridCol w:w="709"/>
        <w:gridCol w:w="709"/>
        <w:gridCol w:w="709"/>
        <w:gridCol w:w="567"/>
        <w:gridCol w:w="567"/>
        <w:gridCol w:w="709"/>
        <w:gridCol w:w="709"/>
        <w:gridCol w:w="1417"/>
      </w:tblGrid>
      <w:tr>
        <w:tblPrEx/>
        <w:trPr>
          <w:trHeight w:val="425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ind w:left="-108" w:right="-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  <w:p>
            <w:pPr>
              <w:ind w:left="-108" w:right="-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3969" w:type="dxa"/>
            <w:vAlign w:val="center"/>
            <w:vMerge w:val="restart"/>
            <w:textDirection w:val="lrTb"/>
            <w:noWrap w:val="false"/>
          </w:tcPr>
          <w:p>
            <w:pPr>
              <w:ind w:left="-121" w:right="-108" w:firstLine="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63" w:right="-12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41" w:tooltip="https://login.consultant.ru/link/?req=doc&amp;base=LAW&amp;n=482062" w:history="1">
              <w:r>
                <w:rPr>
                  <w:rFonts w:ascii="Times New Roman" w:hAnsi="Times New Roman" w:eastAsia="Times New Roman"/>
                  <w:b/>
                  <w:bCs/>
                  <w:color w:val="000000" w:themeColor="text1"/>
                  <w:sz w:val="20"/>
                  <w:szCs w:val="20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gridSpan w:val="11"/>
            <w:tcW w:w="7512" w:type="dxa"/>
            <w:vAlign w:val="center"/>
            <w:textDirection w:val="lrTb"/>
            <w:noWrap w:val="false"/>
          </w:tcPr>
          <w:p>
            <w:pPr>
              <w:ind w:hanging="8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hanging="8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на конец 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  <w:p>
            <w:pPr>
              <w:ind w:hanging="8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2025 года</w:t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275"/>
          <w:tblHeader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69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янв.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фев.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сен.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нояб.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spacing w:after="252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33"/>
        </w:trPr>
        <w:tc>
          <w:tcPr>
            <w:gridSpan w:val="16"/>
            <w:tcW w:w="15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«Организация событийных спортивных мероприятий на территории Губкинского городского округа»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outlineLvl w:val="1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Численность человек, принявших участие в физкультурно-массовых и спортивных мероприятиях, проводимых управлением физической культурой и спорта администрации Губкинского городского округа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«КПМ»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Тыс. человек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1,7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3,9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5,1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6,7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7,4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8,9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9,1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10,8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12,7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14,6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15,4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16,5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z w:val="24"/>
          <w:szCs w:val="24"/>
        </w:rPr>
        <w:outlineLvl w:val="2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  <w:outlineLvl w:val="2"/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4. Перечень мероприятий (результатов) комплекса процессных мероприятий 2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tbl>
      <w:tblPr>
        <w:tblW w:w="0" w:type="auto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2"/>
        <w:gridCol w:w="1559"/>
        <w:gridCol w:w="1276"/>
        <w:gridCol w:w="1134"/>
        <w:gridCol w:w="850"/>
        <w:gridCol w:w="850"/>
        <w:gridCol w:w="850"/>
        <w:gridCol w:w="850"/>
        <w:gridCol w:w="850"/>
        <w:gridCol w:w="850"/>
        <w:gridCol w:w="1561"/>
        <w:gridCol w:w="2693"/>
      </w:tblGrid>
      <w:tr>
        <w:tblPrEx/>
        <w:trPr>
          <w:trHeight w:val="934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184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Единица измерения (по </w:t>
            </w:r>
            <w:hyperlink r:id="rId42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eastAsia="Times New Roman"/>
                  <w:b/>
                  <w:bCs/>
                  <w:color w:val="000000"/>
                  <w:sz w:val="20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gridSpan w:val="2"/>
            <w:tcW w:w="198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gridSpan w:val="6"/>
            <w:tcW w:w="58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Значения мероприятия (результата), 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13"/>
            <w:tcW w:w="15732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«Организация событийных спортивных мероприятий на территории Губкинского городского округа»</w:t>
            </w:r>
            <w:r>
              <w:rPr>
                <w:rFonts w:ascii="Arial" w:hAnsi="Arial" w:eastAsia="Times New Roman" w:cs="Arial"/>
                <w:sz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18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Мероприятия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Приобретение товаров, работ, услуг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0"/>
                <w:szCs w:val="20"/>
                <w:highlight w:val="white"/>
              </w:rPr>
              <w:t xml:space="preserve">Единица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122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141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153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160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169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177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189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outlineLvl w:val="1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Численность человек, принявших участие в физкультурно-массовых и спортивных мероприятиях, проводимых управлением физической культурой и спорта администрации Губкинского городского округа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gridSpan w:val="12"/>
            <w:tcW w:w="1516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Управлением 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физической культуры и спорта администрации Губкинского городского округа проведены мероприятия физкультурно-массовой и спортивной направленности для популяризации физической культуры и спорта среди всех групп населения Губкинского городского округа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Финансовое обеспечение комплекса процессных мероприятий 2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0" w:type="auto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237"/>
        <w:gridCol w:w="3544"/>
        <w:gridCol w:w="851"/>
        <w:gridCol w:w="850"/>
        <w:gridCol w:w="851"/>
        <w:gridCol w:w="850"/>
        <w:gridCol w:w="851"/>
        <w:gridCol w:w="850"/>
        <w:gridCol w:w="848"/>
      </w:tblGrid>
      <w:tr>
        <w:tblPrEx/>
        <w:trPr>
          <w:tblHeader/>
        </w:trPr>
        <w:tc>
          <w:tcPr>
            <w:tcW w:w="623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Наименование мероприятия (результата) /источник финансового обеспечения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5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7"/>
            <w:tcW w:w="59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blHeader/>
        </w:trPr>
        <w:tc>
          <w:tcPr>
            <w:tcW w:w="623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всего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6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Комплекс процессных мероприятий «Проведение физкультурно-массовых и спортивных мероприятий» (всего), в том числе: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after="0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2 990,0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2 990,0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623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2 990,0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2 990,0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623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623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623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839"/>
        </w:trPr>
        <w:tc>
          <w:tcPr>
            <w:tcW w:w="623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Мероприятие (результат) «Мероприятия», всего, в том числе: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871 0703 0640229990 600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874 1102 0640229990 100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874 1102 0640229990 200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874 1103 0640229990 600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922-940 1102 064022990 200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2 990,0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2 990,0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623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2 990,0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2 990,0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623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623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623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6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Нераспределенный резерв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 (бюджет Губкинского городского округа Белгородской области)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1057"/>
        <w:gridCol w:w="467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0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№ 8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 паспорту комплекса процессных мероприятий «Проведение физкультурно-массовых и спортивных мероприятий»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План реализации комплекса процессных мероприятий 2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0" w:type="auto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6721"/>
        <w:gridCol w:w="2246"/>
        <w:gridCol w:w="3775"/>
        <w:gridCol w:w="2140"/>
      </w:tblGrid>
      <w:tr>
        <w:tblPrEx/>
        <w:trPr>
          <w:tblHeader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67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Задача, мероприятие (результат) / контрольная точка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2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Дата наступления контрольной точки (день, месяц)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1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Вид подтверждающего документа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4"/>
            <w:tcW w:w="14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Задача 1 «Организация событийных спортивных мероприятий на территории Белгородской области»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Мероприятия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Мероприятия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в 2025 году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30.01.2025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«Центр бухгалтерского учета обслуживания учреждений сферы физической культуры, спорта и молодежной политики»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Муниципальный контракт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«Произведена приемка поставленных товаров, выполненных работ, оказанных услуг»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05.02.2025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Иной документ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1.1.1.3.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«Произведена оплата товаров, выполненных работ, оказанных услуг по муниципальному контракту»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08.02.2025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«Центр бухгалтерского учета обслуживания учреждений сферы физической культуры, спорта и молодежной политики»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Платежное поручение, выписка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1.1.1.4.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«Проведено мероприятие»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25.12.2025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«Центр бухгалтерского учета обслуживания учреждений сферы физической культуры, спорта и молодежной политики»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Фотоотчет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79"/>
        </w:trPr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1.2.1.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Мероприятия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в 2026 году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1.2.1.1.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«Закупка включена в план закупок»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20.09.2025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«Центр бухгалтерского учета обслуживания учреждений сферы физической культуры, спорта и молодежной политики»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План-график закупок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1.2.1.2.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30.01.2026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«Центр бухгалтерского учета обслуживания учреждений сферы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физической культуры, спорта и молодежной политики»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Муниципальный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контракт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1.2.1.3.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«Произведена приемка поставленных товаров, выполненных работ, оказанных услуг»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05.02.2026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Иной документ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1.2.1.4.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«Произведена оплата товаров, выполненных работ, оказанных услуг по муниципальному контракту»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08.02.2026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«Центр бухгалтерского учета обслуживания учреждений сферы физической культуры, спорта и молодежной политики»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Платежное поручение, выписка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1.2.1.5.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«Проведено мероприятие»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25.12.2026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«Центр бухгалтерского учета обслуживания учреждений сферы физической культуры, спорта и молодежной политики»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Фотоотчет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1.3.1.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Мероприятия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в 2027 году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1.3.1.1.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«Закупка включена в план закупок»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20.09.2026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«Центр бухгалтерского учета обслуживания учреждений сферы физической культуры, спорта и молодежной политики»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План-график закупок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1.3.1.2.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30.01.2027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«Центр бухгалтерского учета обслуживания учреждений сферы физической культуры, спорта и молодежной политики»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Муниципальный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контракт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1.3.1.3.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«Произведена приемка поставленных товаров, выполненных работ, оказанных услуг»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05.02.2027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Иной документ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1.3.1.4.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«Произведена оплата товаров, выполненных работ, оказанных услуг по муниципальному контракту»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08.02.2027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«Центр бухгалтерского учета обслуживания учреждений сферы физической культуры, спорта и молодежной политики»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Платежное поручение, выписка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1.3.1.5.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Контрольная точка «Проведено мероприятие»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25.12.2027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МКУ «Центр бухгалтерского учета обслуживания учреждений сферы физической культуры, спорта и молодежной политики»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Фотоотчет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0913"/>
        <w:gridCol w:w="4819"/>
      </w:tblGrid>
      <w:tr>
        <w:tblPrEx/>
        <w:trPr>
          <w:trHeight w:val="85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913" w:type="dxa"/>
            <w:textDirection w:val="lrTb"/>
            <w:noWrap w:val="false"/>
          </w:tcPr>
          <w:p>
            <w:pPr>
              <w:ind w:left="3"/>
              <w:jc w:val="center"/>
              <w:spacing w:after="0" w:line="259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textDirection w:val="lrTb"/>
            <w:noWrap w:val="false"/>
          </w:tcPr>
          <w:p>
            <w:pPr>
              <w:ind w:left="3"/>
              <w:jc w:val="center"/>
              <w:spacing w:after="0" w:line="259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Приложение № 9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3"/>
              <w:jc w:val="center"/>
              <w:spacing w:after="0" w:line="259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 муниципальной программе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3"/>
              <w:jc w:val="center"/>
              <w:spacing w:after="0" w:line="259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«Развитие физической культуры и спорта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3"/>
              <w:jc w:val="center"/>
              <w:spacing w:after="0" w:line="259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Губкинском городском округе Белгородской области»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val="en-US" w:eastAsia="ru-RU"/>
        </w:rPr>
        <w:t xml:space="preserve">VII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. Паспорт 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комплекса процессных мероприятий «</w:t>
      </w:r>
      <w:r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Обеспечение реализации муниципальной программы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»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t xml:space="preserve"> (далее - комплекс процессных мероприятий 3)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outlineLvl w:val="2"/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t xml:space="preserve">1. Общие положения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outlineLvl w:val="2"/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1196"/>
      </w:tblGrid>
      <w:tr>
        <w:tblPrEx/>
        <w:trPr/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Ответственное структурное подразделение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администрации Губкинского городского округа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19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Управление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 физической культуры и спорта администрации Губкинского городского округа, начальник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управления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 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3"/>
        </w:trPr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Связь с муниципальной программой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19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«Развитие физической культуры и спорта в Губкинском городском округе Белгородской области»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80008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80008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80008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800080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  <w:outlineLvl w:val="2"/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2. Показатели комплекса процессных мероприятий 3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541"/>
        <w:gridCol w:w="1134"/>
        <w:gridCol w:w="1134"/>
        <w:gridCol w:w="1276"/>
        <w:gridCol w:w="1134"/>
        <w:gridCol w:w="709"/>
        <w:gridCol w:w="709"/>
        <w:gridCol w:w="709"/>
        <w:gridCol w:w="709"/>
        <w:gridCol w:w="709"/>
        <w:gridCol w:w="709"/>
        <w:gridCol w:w="850"/>
        <w:gridCol w:w="1843"/>
      </w:tblGrid>
      <w:tr>
        <w:tblPrEx/>
        <w:trPr/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left="-108" w:right="-9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  <w:p>
            <w:pPr>
              <w:pStyle w:val="985"/>
              <w:ind w:left="-108" w:right="-9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п/п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left="-121" w:right="-108" w:firstLine="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Наименование показателя/задачи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Признак возрастания/убывания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left="-63" w:right="-12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Единица измерения (по </w:t>
            </w:r>
            <w:hyperlink r:id="rId43" w:tooltip="https://login.consultant.ru/link/?req=doc&amp;base=LAW&amp;n=482062" w:history="1">
              <w:r>
                <w:rPr>
                  <w:rFonts w:ascii="Times New Roman" w:hAnsi="Times New Roman" w:cs="Times New Roman"/>
                  <w:b/>
                  <w:bCs/>
                  <w:color w:val="000000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)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gridSpan w:val="2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252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6"/>
            <w:tcW w:w="4394" w:type="dxa"/>
            <w:vAlign w:val="center"/>
            <w:textDirection w:val="lrTb"/>
            <w:noWrap w:val="false"/>
          </w:tcPr>
          <w:p>
            <w:pPr>
              <w:pStyle w:val="985"/>
              <w:ind w:firstLine="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Значение показателей по годам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</w:tr>
      <w:tr>
        <w:tblPrEx/>
        <w:trPr/>
        <w:tc>
          <w:tcPr>
            <w:tcW w:w="56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543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spacing w:after="252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13"/>
            <w:tcW w:w="151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Исполнение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 функций органов власти местного самоуправления»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Уровень достижения показателей муниципальной программы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«КПМ»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95,5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95,5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95,5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Помесячный план достижения показателей комплекса процессных мероприятий 3 в 2025 году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7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4250"/>
        <w:gridCol w:w="1134"/>
        <w:gridCol w:w="1134"/>
        <w:gridCol w:w="709"/>
        <w:gridCol w:w="709"/>
        <w:gridCol w:w="709"/>
        <w:gridCol w:w="634"/>
        <w:gridCol w:w="499"/>
        <w:gridCol w:w="142"/>
        <w:gridCol w:w="283"/>
        <w:gridCol w:w="426"/>
        <w:gridCol w:w="709"/>
        <w:gridCol w:w="709"/>
        <w:gridCol w:w="709"/>
        <w:gridCol w:w="709"/>
        <w:gridCol w:w="709"/>
        <w:gridCol w:w="992"/>
      </w:tblGrid>
      <w:tr>
        <w:tblPrEx/>
        <w:trPr>
          <w:trHeight w:val="425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left="-108" w:right="-9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  <w:p>
            <w:pPr>
              <w:pStyle w:val="985"/>
              <w:ind w:left="-108" w:right="-9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п/п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4252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left="-121" w:right="-108" w:firstLine="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left="-63" w:right="-12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Единица измерения (по </w:t>
            </w:r>
            <w:hyperlink r:id="rId44" w:tooltip="https://login.consultant.ru/link/?req=doc&amp;base=LAW&amp;n=482062" w:history="1">
              <w:r>
                <w:rPr>
                  <w:rFonts w:ascii="Times New Roman" w:hAnsi="Times New Roman" w:cs="Times New Roman"/>
                  <w:b/>
                  <w:bCs/>
                  <w:color w:val="000000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)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gridSpan w:val="13"/>
            <w:tcW w:w="7654" w:type="dxa"/>
            <w:vAlign w:val="center"/>
            <w:textDirection w:val="lrTb"/>
            <w:noWrap w:val="false"/>
          </w:tcPr>
          <w:p>
            <w:pPr>
              <w:pStyle w:val="985"/>
              <w:ind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985"/>
              <w:ind w:hanging="8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 конец 2025 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</w:r>
          </w:p>
        </w:tc>
      </w:tr>
      <w:tr>
        <w:tblPrEx/>
        <w:trPr>
          <w:trHeight w:val="27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252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1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янв.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фев.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6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6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сен.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нояб.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252" w:line="240" w:lineRule="auto"/>
              <w:widowControl w:val="off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33"/>
        </w:trPr>
        <w:tc>
          <w:tcPr>
            <w:gridSpan w:val="18"/>
            <w:tcW w:w="15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«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Исполнение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 функций органов власти местного самоуправления»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3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Уровень достижения показателей муниципальной программы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«КПМ»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6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  <w:outlineLvl w:val="2"/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4. Перечень мероприятий (результатов) комплекса процессных мероприятий 3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tbl>
      <w:tblPr>
        <w:tblW w:w="0" w:type="auto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1559"/>
        <w:gridCol w:w="1276"/>
        <w:gridCol w:w="1134"/>
        <w:gridCol w:w="709"/>
        <w:gridCol w:w="850"/>
        <w:gridCol w:w="850"/>
        <w:gridCol w:w="850"/>
        <w:gridCol w:w="850"/>
        <w:gridCol w:w="850"/>
        <w:gridCol w:w="852"/>
        <w:gridCol w:w="2835"/>
      </w:tblGrid>
      <w:tr>
        <w:tblPrEx/>
        <w:trPr/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Единица измерения (по </w:t>
            </w:r>
            <w:hyperlink r:id="rId45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eastAsia="Times New Roman"/>
                  <w:b/>
                  <w:bCs/>
                  <w:color w:val="000000"/>
                  <w:sz w:val="20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gridSpan w:val="2"/>
            <w:tcW w:w="184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gridSpan w:val="6"/>
            <w:tcW w:w="510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Значения мероприятия (результата), 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13"/>
            <w:tcW w:w="15732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«Исполнение функций органов власти местного самоуправления»</w:t>
            </w:r>
            <w:r>
              <w:rPr>
                <w:rFonts w:ascii="Arial" w:hAnsi="Arial" w:eastAsia="Times New Roman" w:cs="Arial"/>
                <w:sz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Обеспечение функций местного самоуправления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текущей деятельности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Человек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Уровень достижения показателей муниципальной программы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lang w:eastAsia="ru-RU"/>
              </w:rPr>
            </w:r>
          </w:p>
        </w:tc>
        <w:tc>
          <w:tcPr>
            <w:gridSpan w:val="12"/>
            <w:tcW w:w="1516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Обеспечение финансирования содержания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управления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 физической культуры и спорта администрации Губкинского городского округа в части осуществления выплат по оплате труда сотрудников, компенсации командировочных расходов и прочих расходов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Финансовое обеспечение комплекса процессных мероприятий 3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0" w:type="auto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520"/>
        <w:gridCol w:w="2268"/>
        <w:gridCol w:w="850"/>
        <w:gridCol w:w="850"/>
        <w:gridCol w:w="992"/>
        <w:gridCol w:w="850"/>
        <w:gridCol w:w="850"/>
        <w:gridCol w:w="850"/>
        <w:gridCol w:w="1703"/>
      </w:tblGrid>
      <w:tr>
        <w:tblPrEx/>
        <w:trPr/>
        <w:tc>
          <w:tcPr>
            <w:tcW w:w="6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Наименование мероприятия (результата) /источник финансового обеспечения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7"/>
            <w:tcW w:w="69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652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всего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65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Комплекс процессных мероприятий «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  <w:t xml:space="preserve">Обеспечение реализации муниципальной программы»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(всего), в том числе: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6 726,0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5 745,0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5 975,0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5 975,0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5 975,0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5 975,0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36 371,0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65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6 726,0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5 745,0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5 975,0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5 975,0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5 975,0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5 975,0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36 371,0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65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65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65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6520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Мероприятие (результат) «</w:t>
            </w:r>
            <w:r>
              <w:rPr>
                <w:rFonts w:ascii="Times New Roman" w:hAnsi="Times New Roman"/>
                <w:bCs/>
                <w:color w:val="000000"/>
              </w:rPr>
              <w:t xml:space="preserve">О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беспечение функций местного самоуправления</w:t>
            </w:r>
            <w:r>
              <w:rPr>
                <w:rFonts w:ascii="Times New Roman" w:hAnsi="Times New Roman" w:cs="Times New Roman"/>
                <w:b/>
              </w:rPr>
              <w:t xml:space="preserve">» (всего), в том числе: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6 726,0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5 745,0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5 975,0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5 975,0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5 975,0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5 975,0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36 371,0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65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874 1105 0640300190 100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6 726,0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5 745,0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5 975,0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5 975,0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5 975,0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5 975,0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36 371,0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65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областной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65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федеральный бюджет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65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источники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6520" w:type="dxa"/>
            <w:vAlign w:val="center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Нераспределенный резерв</w:t>
            </w:r>
            <w:r>
              <w:rPr>
                <w:rFonts w:ascii="Times New Roman" w:hAnsi="Times New Roman" w:cs="Times New Roman"/>
              </w:rPr>
              <w:t xml:space="preserve"> (бюджет Губкинского городского округа Белгородской области)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1057"/>
        <w:gridCol w:w="467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0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№ 10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 паспорту комплекса процессных мероприятий «Обеспечение функций органов местного самоуправления»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План реализации комплекса процессных мероприятий 3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0" w:type="auto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897"/>
        <w:gridCol w:w="2246"/>
        <w:gridCol w:w="3775"/>
        <w:gridCol w:w="2140"/>
      </w:tblGrid>
      <w:tr>
        <w:tblPrEx/>
        <w:trPr/>
        <w:tc>
          <w:tcPr>
            <w:tcW w:w="6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68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Задача, мероприятие (результат) / контрольная точка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2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Дата наступления контрольной точки (день, месяц)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1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Вид подтверждающего документа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6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4"/>
            <w:tcW w:w="1505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Задача 1 «Исполнение функций органов власти местного самоуправления»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6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Обеспечение функций местного самоуправления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6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Обеспечение функций местного самоуправления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в 2025 году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6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</w:rPr>
              <w:t xml:space="preserve">«</w:t>
            </w:r>
            <w:r>
              <w:rPr>
                <w:rFonts w:ascii="Times New Roman" w:hAnsi="Times New Roman"/>
                <w:color w:val="000000"/>
              </w:rPr>
              <w:t xml:space="preserve">Обеспечение функций местного самоуправления</w:t>
            </w:r>
            <w:r>
              <w:rPr>
                <w:rFonts w:ascii="Times New Roman" w:hAnsi="Times New Roman" w:cs="Times New Roman"/>
              </w:rPr>
              <w:t xml:space="preserve">»</w:t>
            </w:r>
            <w:r>
              <w:rPr>
                <w:rFonts w:ascii="Times New Roman" w:hAnsi="Times New Roman"/>
              </w:rPr>
              <w:t xml:space="preserve"> в 2026 году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1.1.3.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897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</w:rPr>
              <w:t xml:space="preserve">«О</w:t>
            </w:r>
            <w:r>
              <w:rPr>
                <w:rFonts w:ascii="Times New Roman" w:hAnsi="Times New Roman"/>
                <w:color w:val="000000"/>
              </w:rPr>
              <w:t xml:space="preserve">беспечение функций местного самоуправления</w:t>
            </w:r>
            <w:r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/>
              </w:rPr>
              <w:t xml:space="preserve">в 2027 году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75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физической культуры и спорта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0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tbl>
      <w:tblPr>
        <w:tblW w:w="157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057"/>
        <w:gridCol w:w="467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0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№ 11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 муниципальной программе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«Развитие физической культуры и спорта в Губкинском городском округе Белгородской области»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  <w:b/>
          <w:sz w:val="16"/>
          <w:szCs w:val="1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Сведения 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порядке сбора информации и методике расчета показателя муниципальной программы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Губкинского городского округа Белгородской области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732" w:type="dxa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67"/>
        <w:gridCol w:w="1134"/>
        <w:gridCol w:w="1134"/>
        <w:gridCol w:w="1276"/>
        <w:gridCol w:w="1559"/>
        <w:gridCol w:w="1418"/>
        <w:gridCol w:w="1417"/>
        <w:gridCol w:w="1418"/>
        <w:gridCol w:w="1559"/>
        <w:gridCol w:w="1418"/>
        <w:gridCol w:w="1415"/>
        <w:gridCol w:w="1417"/>
      </w:tblGrid>
      <w:tr>
        <w:tblPrEx/>
        <w:trPr>
          <w:trHeight w:val="13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№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(по ОКЕИ)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Определение показателя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Временные характеристики показателя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Алгоритм формирования (формула) и методоло-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гические пояснения к показателю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Базовые показатели (исполь-зуемые в формуле)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Метод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сбора информации, индекс формы отчетности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Пункт Федерального плана статисти-ческих работ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vertAlign w:val="superscript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vertAlign w:val="superscript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Ответствен-ный за сбор данных по показателю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Реквизиты акта (при наличии)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Срок представления годовой отчетной информации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"/>
          <w:szCs w:val="2"/>
        </w:rPr>
      </w:pPr>
      <w:r>
        <w:rPr>
          <w:rFonts w:ascii="Times New Roman" w:hAnsi="Times New Roman"/>
          <w:b/>
          <w:sz w:val="2"/>
          <w:szCs w:val="2"/>
        </w:rPr>
      </w:r>
      <w:r>
        <w:rPr>
          <w:rFonts w:ascii="Times New Roman" w:hAnsi="Times New Roman"/>
          <w:b/>
          <w:sz w:val="2"/>
          <w:szCs w:val="2"/>
        </w:rPr>
      </w:r>
      <w:r>
        <w:rPr>
          <w:rFonts w:ascii="Times New Roman" w:hAnsi="Times New Roman"/>
          <w:b/>
          <w:sz w:val="2"/>
          <w:szCs w:val="2"/>
        </w:rPr>
      </w:r>
    </w:p>
    <w:tbl>
      <w:tblPr>
        <w:tblW w:w="15732" w:type="dxa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67"/>
        <w:gridCol w:w="1134"/>
        <w:gridCol w:w="1134"/>
        <w:gridCol w:w="1276"/>
        <w:gridCol w:w="1559"/>
        <w:gridCol w:w="1418"/>
        <w:gridCol w:w="1417"/>
        <w:gridCol w:w="1418"/>
        <w:gridCol w:w="1559"/>
        <w:gridCol w:w="1418"/>
        <w:gridCol w:w="1415"/>
        <w:gridCol w:w="1417"/>
      </w:tblGrid>
      <w:tr>
        <w:tblPrEx/>
        <w:trPr>
          <w:trHeight w:val="226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населения Губкинского городского округа, систематически занимающегося физической культурой и спортом в возрасте от 3 до 79 лет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Процент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Отражает долю граждан трудоспособного возраста,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Ежегодно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Дз = Чз / Чн х 100,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Чз - численность занимающихся физической культурой и спортом в соответствии с данными федерального статистического наблюдения по форме № 1-ФК «Сведения о физической культуре и спорте», человек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46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Форма №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«Сведения о физической культуре и спорте», приказ Росстата от 23 июня 2023 года № 303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47.1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Чн - численность населения, человек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Данные Федеральной службы государственной статистики (краткий статистический сборник «Белгородская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область в цифрах», belg.gks.ru)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47.1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Уровень обеспеченности граждан спортивными сооружениями исходя из единовременной пропускной способности объектов спорта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Числовой показатель, характеризующий возможность одновременного удовлетворения потребности в физкультурно-оздоровительных услугах определенного числа жителей области в соответствии с планово-расчетными показателями количества занимающихся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Ежегодно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ЕПС = ЕПСфакт / ЕПСнорм х 100,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ЕПСфакт - единовременная пропускная способность имеющихся спортивных сооружений, человек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47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Форма №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«Сведения о физической культуре и спорте», приказ Росстата от 23 июня 2023 года № 303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47.1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ЕПСнорм - нормативная потребность в объектах спортивной инфраструктуры, исходя из единовременной пропускной способности спортивных сооружений, человек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Прочие. Методические </w:t>
            </w:r>
            <w:hyperlink r:id="rId48" w:tooltip="Приказ Минспорта России от 21.03.2018 N 244 (ред. от 14.04.2020) &quot;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&quot;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рекомендации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применении нормативов и норм при определении потребности субъектов Российской Федерации в объектах физической культуры и спорта, утвержденные приказом Минспорта России от 21 марта 2018 года № 244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47.1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трудоспособного населения Губкинского городского округа, занимающегося физической культурой и спортом, в общей численности трудоспособного населения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Отражает долю граждан трудоспособного возраста, систематически занимающегося физической культурой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 спортом, в общей численности трудоспособного населения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Ежегодно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Дзт = Чзт / Чнт x 100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Чзт - численность населения трудоспособного возраста, занимающегося физической культурой и спортом, человек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49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Форма №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«Сведения о физической культуре и спорте», приказ Росстата от 23 июня 2023 года № 303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47.1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Чнп - численность трудоспособного населения по административной информации Федеральной службы государственной статистики, человек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Прочие. Методические </w:t>
            </w:r>
            <w:hyperlink r:id="rId50" w:tooltip="Приказ Минспорта России от 21.03.2018 N 244 (ред. от 14.04.2020) &quot;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&quot; {КонсультантПлюс}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рекомендации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применении нормативов и норм при определении потребности субъектов Российской Федерации в объектах физической культуры и спорта,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утвержденные приказом Минспорта России от 21 марта 2018 года № 244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47.1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детей и молодежи (возраст 3 - 29 лет), систематически занимающихся физической культурой и спортом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Отражает долю детей и молодежи,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Ежегодно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Дзд = Чздс / Чнд x 100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Чздс - численность населения в возрасте 3 - 29 лет, занимающегося физической культурой и спортом в организованной форме занятий, человек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51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Форма №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«Сведения о физической культуре и спорте», приказ Росстата от 23 июня 2023 года № 303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47.1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Чнд - численность населения в возрасте 3 - 29 лет по административной информации Федеральной службы государственной статистики, человек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Прочие, оценка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1.8.3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 10 февраля года, следующего за отчетным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5.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граждан среднего возраста (женщины 30 - 54 года; мужчины: 30 - 59 лет), систематически занимающихся физической культурой и спортом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Отражает долю граждан среднего возраста,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Ежегодно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Дзс = Чзсс / Чнс x 100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Чзсс - численность населения в возрасте: женщины: 30 - 54 года; мужчины: 30 - 59 лет, занимающегося физической культурой и спортом в организованной форме занятий, человек (по состоянию на начало отчетного года)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52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Форма №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«Сведения о физической культуре и спорте», приказ Росстата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23 июня 2023 года № 303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47.1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Чнс - численность населения в возрасте женщины: 30 - 54 года; мужчины: 30 - 59 лет, человек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Прочие, оценка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1.8.3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 10 февраля года, следующего за отчетным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6.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граждан 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старшего возраста (женщины 55 - 79 лет, мужчины 60 - 70 лет), систематически занимающихся физической культурой и спортом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Отражает долю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Ежегодно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Дзп = Чзпс / Чнп 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100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Чзпс - численность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населения в возрасте: женщины: 55 - 79 лет; мужчины: 60 - 79 лет, занимающегося физической культурой и спортом в организованной форме занятий, человек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отчетность. </w:t>
            </w:r>
            <w:hyperlink r:id="rId53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Форма №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«Сведения о физической культуре и спорте», приказ Росстата от 23 июня 2023 года № 303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47.1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года, следующего за 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Чнп - численность населения в возрасте женщины: 55 - 79 лет; мужчины: 60 - 79 лет по административной информации Федеральной службы государственной статистики, человек (по состоянию на начало отчетного года)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Прочие, оценка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1.8.3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 10 февраля года, следующего за отчетным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7.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категории населения области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Отражает долю лиц с ограниченными возможностями здоровья и инвалидов,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Ежегодно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Динв = Линв / Чинв x 100%,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Динв -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области, человек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54" w:tooltip="Приказ Росстата от 08.10.2018 N 603 &quot;Об утверждении статистического инструментария для организации Министерством спорта Российской Федерации федерального статистического наблюдения за деятельностью учреждений по адаптивной физической культуре и спорту&quot; {Консул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Форма № 3-АФК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«Сведения об адаптивной физической культуре и спорте», приказ Росстата от 8 октября 2018 года № 603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47.5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1 марта года, следующего за 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17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Линв - общее количество лиц с ограниченными возможностями здоровья и инвалидов, систематически занимающихся физической культурой и спортом, человек (форма № 3-АФК)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Ведомственная отчетность (по состоянию на декабрь отчетного года)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47.1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 1 марта года, следующего за отчетным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  <w:tr>
        <w:tblPrEx/>
        <w:trPr>
          <w:trHeight w:val="1152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Чинв - общая численность населения Белгородской области, относящегося к категории инвалидов и лиц с ограниченными возможностями, человек)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Краткий статистический сборник «Белгородская область в цифрах» belg.gks.ru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47.1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 1 марта года, следующего за отчетным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</w:tr>
      <w:tr>
        <w:tblPrEx/>
        <w:trPr>
          <w:trHeight w:val="1152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8.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 xml:space="preserve">Доля сельского населения, систематически занимающегося физической культурой и спортом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Процент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Показывает долю сельского населения, систематически занимающегося физической культурой и спортом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Ежегодно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Дсз = ЧзанФК / Чсн x 100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pStyle w:val="9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ЧзанФК - численность сельского населения, занимающегося физической культурой и спортом, согласно данным федерального статистического наблюдения по форме № 1-ФК, человек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/>
            <w:hyperlink r:id="rId55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Форма №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«Сведения о физической культуре и спорте», приказ Росстата от 23 июня 2023 года № 303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47.1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pStyle w:val="98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152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Чсн - численность сельского населения, занимающегося физической культурой и спортом, согласно данным формы № 1-ФК, человек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Прочие. Оценка (информация с официального сайта function.minsport.gov.ru)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1.8.3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физической культуры и спорта администрации Губкинского городского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 10 февраля года, следующего за отчетным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</w:tbl>
    <w:p>
      <w:r/>
      <w:r/>
    </w:p>
    <w:sectPr>
      <w:headerReference w:type="default" r:id="rId12"/>
      <w:footnotePr/>
      <w:endnotePr/>
      <w:type w:val="nextPage"/>
      <w:pgSz w:w="16838" w:h="11906" w:orient="landscape"/>
      <w:pgMar w:top="1701" w:right="253" w:bottom="850" w:left="1134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ahoma">
    <w:panose1 w:val="020B0604030504040204"/>
  </w:font>
  <w:font w:name="Courier New">
    <w:panose1 w:val="02070309020205020404"/>
  </w:font>
  <w:font w:name="Calibri Light">
    <w:panose1 w:val="020F0502020204030204"/>
  </w:font>
  <w:font w:name="Arial Unicode MS">
    <w:panose1 w:val="020B0604020202020204"/>
  </w:font>
  <w:font w:name="Arial">
    <w:panose1 w:val="020B0604020202020204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4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2"/>
      <w:jc w:val="center"/>
      <w:rPr>
        <w:rFonts w:ascii="Times New Roman" w:hAnsi="Times New Roman"/>
      </w:rPr>
    </w:pPr>
    <w:r>
      <w:rPr>
        <w:rFonts w:ascii="Times New Roman" w:hAnsi="Times New Roman"/>
      </w:rPr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832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lang w:val="ru-RU"/>
      </w:rPr>
      <w:t xml:space="preserve">11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832"/>
      <w:jc w:val="center"/>
      <w:rPr>
        <w:rFonts w:ascii="Times New Roman" w:hAnsi="Times New Roman"/>
        <w:lang w:val="ru-RU"/>
      </w:rPr>
    </w:pPr>
    <w:r>
      <w:rPr>
        <w:rFonts w:ascii="Times New Roman" w:hAnsi="Times New Roman"/>
        <w:lang w:val="ru-RU"/>
      </w:rPr>
    </w:r>
    <w:r>
      <w:rPr>
        <w:rFonts w:ascii="Times New Roman" w:hAnsi="Times New Roman"/>
        <w:lang w:val="ru-RU"/>
      </w:rPr>
    </w:r>
    <w:r>
      <w:rPr>
        <w:rFonts w:ascii="Times New Roman" w:hAnsi="Times New Roman"/>
        <w:lang w:val="ru-RU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2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2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14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Arial Unicode MS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2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Arial Unicode MS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20"/>
  </w:num>
  <w:num w:numId="2">
    <w:abstractNumId w:val="2"/>
  </w:num>
  <w:num w:numId="3">
    <w:abstractNumId w:val="11"/>
  </w:num>
  <w:num w:numId="4">
    <w:abstractNumId w:val="6"/>
  </w:num>
  <w:num w:numId="5">
    <w:abstractNumId w:val="15"/>
  </w:num>
  <w:num w:numId="6">
    <w:abstractNumId w:val="12"/>
  </w:num>
  <w:num w:numId="7">
    <w:abstractNumId w:val="19"/>
  </w:num>
  <w:num w:numId="8">
    <w:abstractNumId w:val="16"/>
  </w:num>
  <w:num w:numId="9">
    <w:abstractNumId w:val="17"/>
  </w:num>
  <w:num w:numId="10">
    <w:abstractNumId w:val="21"/>
  </w:num>
  <w:num w:numId="11">
    <w:abstractNumId w:val="1"/>
  </w:num>
  <w:num w:numId="12">
    <w:abstractNumId w:val="9"/>
  </w:num>
  <w:num w:numId="13">
    <w:abstractNumId w:val="4"/>
  </w:num>
  <w:num w:numId="14">
    <w:abstractNumId w:val="13"/>
  </w:num>
  <w:num w:numId="15">
    <w:abstractNumId w:val="23"/>
  </w:num>
  <w:num w:numId="16">
    <w:abstractNumId w:val="8"/>
  </w:num>
  <w:num w:numId="17">
    <w:abstractNumId w:val="14"/>
  </w:num>
  <w:num w:numId="18">
    <w:abstractNumId w:val="7"/>
  </w:num>
  <w:num w:numId="19">
    <w:abstractNumId w:val="18"/>
  </w:num>
  <w:num w:numId="20">
    <w:abstractNumId w:val="10"/>
  </w:num>
  <w:num w:numId="21">
    <w:abstractNumId w:val="24"/>
  </w:num>
  <w:num w:numId="22">
    <w:abstractNumId w:val="3"/>
  </w:num>
  <w:num w:numId="23">
    <w:abstractNumId w:val="25"/>
  </w:num>
  <w:num w:numId="24">
    <w:abstractNumId w:val="0"/>
  </w:num>
  <w:num w:numId="25">
    <w:abstractNumId w:val="22"/>
  </w:num>
  <w:num w:numId="26">
    <w:abstractNumId w:val="5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90">
    <w:name w:val="Heading 3 Char"/>
    <w:basedOn w:val="810"/>
    <w:link w:val="803"/>
    <w:uiPriority w:val="9"/>
    <w:rPr>
      <w:rFonts w:ascii="Arial" w:hAnsi="Arial" w:eastAsia="Arial" w:cs="Arial"/>
      <w:sz w:val="30"/>
      <w:szCs w:val="30"/>
    </w:rPr>
  </w:style>
  <w:style w:type="character" w:styleId="791">
    <w:name w:val="Heading 5 Char"/>
    <w:basedOn w:val="810"/>
    <w:link w:val="805"/>
    <w:uiPriority w:val="9"/>
    <w:rPr>
      <w:rFonts w:ascii="Arial" w:hAnsi="Arial" w:eastAsia="Arial" w:cs="Arial"/>
      <w:b/>
      <w:bCs/>
      <w:sz w:val="24"/>
      <w:szCs w:val="24"/>
    </w:rPr>
  </w:style>
  <w:style w:type="character" w:styleId="792">
    <w:name w:val="Heading 6 Char"/>
    <w:basedOn w:val="810"/>
    <w:link w:val="806"/>
    <w:uiPriority w:val="9"/>
    <w:rPr>
      <w:rFonts w:ascii="Arial" w:hAnsi="Arial" w:eastAsia="Arial" w:cs="Arial"/>
      <w:b/>
      <w:bCs/>
      <w:sz w:val="22"/>
      <w:szCs w:val="22"/>
    </w:rPr>
  </w:style>
  <w:style w:type="character" w:styleId="793">
    <w:name w:val="Heading 7 Char"/>
    <w:basedOn w:val="810"/>
    <w:link w:val="8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4">
    <w:name w:val="Heading 8 Char"/>
    <w:basedOn w:val="810"/>
    <w:link w:val="808"/>
    <w:uiPriority w:val="9"/>
    <w:rPr>
      <w:rFonts w:ascii="Arial" w:hAnsi="Arial" w:eastAsia="Arial" w:cs="Arial"/>
      <w:i/>
      <w:iCs/>
      <w:sz w:val="22"/>
      <w:szCs w:val="22"/>
    </w:rPr>
  </w:style>
  <w:style w:type="character" w:styleId="795">
    <w:name w:val="Heading 9 Char"/>
    <w:basedOn w:val="810"/>
    <w:link w:val="809"/>
    <w:uiPriority w:val="9"/>
    <w:rPr>
      <w:rFonts w:ascii="Arial" w:hAnsi="Arial" w:eastAsia="Arial" w:cs="Arial"/>
      <w:i/>
      <w:iCs/>
      <w:sz w:val="21"/>
      <w:szCs w:val="21"/>
    </w:rPr>
  </w:style>
  <w:style w:type="character" w:styleId="796">
    <w:name w:val="Title Char"/>
    <w:basedOn w:val="810"/>
    <w:link w:val="824"/>
    <w:uiPriority w:val="10"/>
    <w:rPr>
      <w:sz w:val="48"/>
      <w:szCs w:val="48"/>
    </w:rPr>
  </w:style>
  <w:style w:type="character" w:styleId="797">
    <w:name w:val="Subtitle Char"/>
    <w:basedOn w:val="810"/>
    <w:link w:val="826"/>
    <w:uiPriority w:val="11"/>
    <w:rPr>
      <w:sz w:val="24"/>
      <w:szCs w:val="24"/>
    </w:rPr>
  </w:style>
  <w:style w:type="character" w:styleId="798">
    <w:name w:val="Quote Char"/>
    <w:link w:val="828"/>
    <w:uiPriority w:val="29"/>
    <w:rPr>
      <w:i/>
    </w:rPr>
  </w:style>
  <w:style w:type="character" w:styleId="799">
    <w:name w:val="Intense Quote Char"/>
    <w:link w:val="830"/>
    <w:uiPriority w:val="30"/>
    <w:rPr>
      <w:i/>
    </w:rPr>
  </w:style>
  <w:style w:type="paragraph" w:styleId="800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801">
    <w:name w:val="Heading 1"/>
    <w:basedOn w:val="800"/>
    <w:link w:val="984"/>
    <w:uiPriority w:val="9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sz w:val="48"/>
      <w:szCs w:val="48"/>
      <w:lang w:val="en-US"/>
    </w:rPr>
  </w:style>
  <w:style w:type="paragraph" w:styleId="802">
    <w:name w:val="Heading 2"/>
    <w:basedOn w:val="800"/>
    <w:next w:val="800"/>
    <w:link w:val="1020"/>
    <w:uiPriority w:val="9"/>
    <w:semiHidden/>
    <w:unhideWhenUsed/>
    <w:qFormat/>
    <w:pPr>
      <w:keepNext/>
      <w:spacing w:before="240" w:after="60"/>
      <w:outlineLvl w:val="1"/>
    </w:pPr>
    <w:rPr>
      <w:rFonts w:ascii="Calibri Light" w:hAnsi="Calibri Light" w:eastAsia="Times New Roman"/>
      <w:b/>
      <w:bCs/>
      <w:i/>
      <w:iCs/>
      <w:sz w:val="28"/>
      <w:szCs w:val="28"/>
    </w:rPr>
  </w:style>
  <w:style w:type="paragraph" w:styleId="803">
    <w:name w:val="Heading 3"/>
    <w:basedOn w:val="800"/>
    <w:next w:val="800"/>
    <w:link w:val="815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804">
    <w:name w:val="Heading 4"/>
    <w:basedOn w:val="800"/>
    <w:next w:val="800"/>
    <w:link w:val="1022"/>
    <w:uiPriority w:val="9"/>
    <w:semiHidden/>
    <w:unhideWhenUsed/>
    <w:qFormat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05">
    <w:name w:val="Heading 5"/>
    <w:basedOn w:val="800"/>
    <w:next w:val="800"/>
    <w:link w:val="81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06">
    <w:name w:val="Heading 6"/>
    <w:basedOn w:val="800"/>
    <w:next w:val="800"/>
    <w:link w:val="81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807">
    <w:name w:val="Heading 7"/>
    <w:basedOn w:val="800"/>
    <w:next w:val="800"/>
    <w:link w:val="819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808">
    <w:name w:val="Heading 8"/>
    <w:basedOn w:val="800"/>
    <w:next w:val="800"/>
    <w:link w:val="82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809">
    <w:name w:val="Heading 9"/>
    <w:basedOn w:val="800"/>
    <w:next w:val="800"/>
    <w:link w:val="82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0" w:default="1">
    <w:name w:val="Default Paragraph Font"/>
    <w:uiPriority w:val="1"/>
    <w:semiHidden/>
    <w:unhideWhenUsed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character" w:styleId="813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814" w:customStyle="1">
    <w:name w:val="Heading 2 Char"/>
    <w:uiPriority w:val="9"/>
    <w:rPr>
      <w:rFonts w:ascii="Arial" w:hAnsi="Arial" w:eastAsia="Arial" w:cs="Arial"/>
      <w:sz w:val="34"/>
    </w:rPr>
  </w:style>
  <w:style w:type="character" w:styleId="815" w:customStyle="1">
    <w:name w:val="Заголовок 3 Знак"/>
    <w:link w:val="803"/>
    <w:uiPriority w:val="9"/>
    <w:rPr>
      <w:rFonts w:ascii="Arial" w:hAnsi="Arial" w:eastAsia="Arial" w:cs="Arial"/>
      <w:sz w:val="30"/>
      <w:szCs w:val="30"/>
    </w:rPr>
  </w:style>
  <w:style w:type="character" w:styleId="816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817" w:customStyle="1">
    <w:name w:val="Заголовок 5 Знак"/>
    <w:link w:val="805"/>
    <w:uiPriority w:val="9"/>
    <w:rPr>
      <w:rFonts w:ascii="Arial" w:hAnsi="Arial" w:eastAsia="Arial" w:cs="Arial"/>
      <w:b/>
      <w:bCs/>
      <w:sz w:val="24"/>
      <w:szCs w:val="24"/>
    </w:rPr>
  </w:style>
  <w:style w:type="character" w:styleId="818" w:customStyle="1">
    <w:name w:val="Заголовок 6 Знак"/>
    <w:link w:val="806"/>
    <w:uiPriority w:val="9"/>
    <w:rPr>
      <w:rFonts w:ascii="Arial" w:hAnsi="Arial" w:eastAsia="Arial" w:cs="Arial"/>
      <w:b/>
      <w:bCs/>
      <w:sz w:val="22"/>
      <w:szCs w:val="22"/>
    </w:rPr>
  </w:style>
  <w:style w:type="character" w:styleId="819" w:customStyle="1">
    <w:name w:val="Заголовок 7 Знак"/>
    <w:link w:val="8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0" w:customStyle="1">
    <w:name w:val="Заголовок 8 Знак"/>
    <w:link w:val="808"/>
    <w:uiPriority w:val="9"/>
    <w:rPr>
      <w:rFonts w:ascii="Arial" w:hAnsi="Arial" w:eastAsia="Arial" w:cs="Arial"/>
      <w:i/>
      <w:iCs/>
      <w:sz w:val="22"/>
      <w:szCs w:val="22"/>
    </w:rPr>
  </w:style>
  <w:style w:type="character" w:styleId="821" w:customStyle="1">
    <w:name w:val="Заголовок 9 Знак"/>
    <w:link w:val="809"/>
    <w:uiPriority w:val="9"/>
    <w:rPr>
      <w:rFonts w:ascii="Arial" w:hAnsi="Arial" w:eastAsia="Arial" w:cs="Arial"/>
      <w:i/>
      <w:iCs/>
      <w:sz w:val="21"/>
      <w:szCs w:val="21"/>
    </w:rPr>
  </w:style>
  <w:style w:type="paragraph" w:styleId="822">
    <w:name w:val="List Paragraph"/>
    <w:basedOn w:val="800"/>
    <w:uiPriority w:val="34"/>
    <w:qFormat/>
    <w:pPr>
      <w:contextualSpacing/>
      <w:ind w:left="720"/>
    </w:pPr>
    <w:rPr>
      <w:rFonts w:eastAsia="Times New Roman"/>
      <w:lang w:eastAsia="ru-RU"/>
    </w:rPr>
  </w:style>
  <w:style w:type="paragraph" w:styleId="823">
    <w:name w:val="No Spacing"/>
    <w:uiPriority w:val="99"/>
    <w:qFormat/>
    <w:rPr>
      <w:rFonts w:eastAsia="Times New Roman"/>
      <w:sz w:val="22"/>
      <w:szCs w:val="22"/>
      <w:lang w:eastAsia="ru-RU"/>
    </w:rPr>
  </w:style>
  <w:style w:type="paragraph" w:styleId="824">
    <w:name w:val="Title"/>
    <w:basedOn w:val="800"/>
    <w:next w:val="800"/>
    <w:link w:val="825"/>
    <w:uiPriority w:val="10"/>
    <w:qFormat/>
    <w:pPr>
      <w:contextualSpacing/>
      <w:spacing w:before="300"/>
    </w:pPr>
    <w:rPr>
      <w:sz w:val="48"/>
      <w:szCs w:val="48"/>
    </w:rPr>
  </w:style>
  <w:style w:type="character" w:styleId="825" w:customStyle="1">
    <w:name w:val="Название Знак"/>
    <w:link w:val="824"/>
    <w:uiPriority w:val="10"/>
    <w:rPr>
      <w:sz w:val="48"/>
      <w:szCs w:val="48"/>
    </w:rPr>
  </w:style>
  <w:style w:type="paragraph" w:styleId="826">
    <w:name w:val="Subtitle"/>
    <w:basedOn w:val="800"/>
    <w:next w:val="800"/>
    <w:link w:val="827"/>
    <w:uiPriority w:val="11"/>
    <w:qFormat/>
    <w:pPr>
      <w:spacing w:before="200"/>
    </w:pPr>
    <w:rPr>
      <w:sz w:val="24"/>
      <w:szCs w:val="24"/>
    </w:rPr>
  </w:style>
  <w:style w:type="character" w:styleId="827" w:customStyle="1">
    <w:name w:val="Подзаголовок Знак"/>
    <w:link w:val="826"/>
    <w:uiPriority w:val="11"/>
    <w:rPr>
      <w:sz w:val="24"/>
      <w:szCs w:val="24"/>
    </w:rPr>
  </w:style>
  <w:style w:type="paragraph" w:styleId="828">
    <w:name w:val="Quote"/>
    <w:basedOn w:val="800"/>
    <w:next w:val="800"/>
    <w:link w:val="829"/>
    <w:uiPriority w:val="29"/>
    <w:qFormat/>
    <w:pPr>
      <w:ind w:left="720" w:right="720"/>
    </w:pPr>
    <w:rPr>
      <w:i/>
    </w:rPr>
  </w:style>
  <w:style w:type="character" w:styleId="829" w:customStyle="1">
    <w:name w:val="Цитата 2 Знак"/>
    <w:link w:val="828"/>
    <w:uiPriority w:val="29"/>
    <w:rPr>
      <w:i/>
    </w:rPr>
  </w:style>
  <w:style w:type="paragraph" w:styleId="830">
    <w:name w:val="Intense Quote"/>
    <w:basedOn w:val="800"/>
    <w:next w:val="800"/>
    <w:link w:val="83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1" w:customStyle="1">
    <w:name w:val="Выделенная цитата Знак"/>
    <w:link w:val="830"/>
    <w:uiPriority w:val="30"/>
    <w:rPr>
      <w:i/>
    </w:rPr>
  </w:style>
  <w:style w:type="paragraph" w:styleId="832">
    <w:name w:val="Header"/>
    <w:basedOn w:val="800"/>
    <w:link w:val="982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833" w:customStyle="1">
    <w:name w:val="Header Char"/>
    <w:uiPriority w:val="99"/>
  </w:style>
  <w:style w:type="paragraph" w:styleId="834">
    <w:name w:val="Footer"/>
    <w:basedOn w:val="800"/>
    <w:link w:val="983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835" w:customStyle="1">
    <w:name w:val="Footer Char"/>
    <w:uiPriority w:val="99"/>
  </w:style>
  <w:style w:type="paragraph" w:styleId="836">
    <w:name w:val="Caption"/>
    <w:basedOn w:val="800"/>
    <w:next w:val="80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37" w:customStyle="1">
    <w:name w:val="Caption Char"/>
    <w:uiPriority w:val="99"/>
  </w:style>
  <w:style w:type="table" w:styleId="838">
    <w:name w:val="Table Grid"/>
    <w:basedOn w:val="811"/>
    <w:uiPriority w:val="39"/>
    <w:tblPr/>
  </w:style>
  <w:style w:type="table" w:styleId="83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0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1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2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3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6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6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7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7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7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73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7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7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7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7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7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7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80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8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8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8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8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8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8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87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0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0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0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0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0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0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08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9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3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3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3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3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3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3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36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44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45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46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47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48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49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50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5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5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5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5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5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5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5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5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6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6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62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6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64">
    <w:name w:val="Hyperlink"/>
    <w:uiPriority w:val="99"/>
    <w:unhideWhenUsed/>
    <w:rPr>
      <w:color w:val="0000ff"/>
      <w:u w:val="single"/>
    </w:rPr>
  </w:style>
  <w:style w:type="paragraph" w:styleId="965">
    <w:name w:val="footnote text"/>
    <w:basedOn w:val="800"/>
    <w:link w:val="1005"/>
    <w:uiPriority w:val="99"/>
    <w:pPr>
      <w:spacing w:after="0" w:line="240" w:lineRule="auto"/>
    </w:pPr>
    <w:rPr>
      <w:rFonts w:eastAsia="Times New Roman"/>
      <w:sz w:val="20"/>
      <w:szCs w:val="20"/>
      <w:lang w:val="en-US"/>
    </w:rPr>
  </w:style>
  <w:style w:type="character" w:styleId="966" w:customStyle="1">
    <w:name w:val="Footnote Text Char"/>
    <w:uiPriority w:val="99"/>
    <w:rPr>
      <w:sz w:val="18"/>
    </w:rPr>
  </w:style>
  <w:style w:type="character" w:styleId="967">
    <w:name w:val="footnote reference"/>
    <w:uiPriority w:val="99"/>
    <w:rPr>
      <w:vertAlign w:val="superscript"/>
    </w:rPr>
  </w:style>
  <w:style w:type="paragraph" w:styleId="968">
    <w:name w:val="endnote text"/>
    <w:basedOn w:val="800"/>
    <w:link w:val="1003"/>
    <w:uiPriority w:val="99"/>
    <w:semiHidden/>
    <w:pPr>
      <w:spacing w:after="0" w:line="240" w:lineRule="auto"/>
    </w:pPr>
    <w:rPr>
      <w:rFonts w:eastAsia="Times New Roman"/>
      <w:sz w:val="20"/>
      <w:szCs w:val="20"/>
      <w:lang w:val="en-US"/>
    </w:rPr>
  </w:style>
  <w:style w:type="character" w:styleId="969" w:customStyle="1">
    <w:name w:val="Endnote Text Char"/>
    <w:uiPriority w:val="99"/>
    <w:rPr>
      <w:sz w:val="20"/>
    </w:rPr>
  </w:style>
  <w:style w:type="character" w:styleId="970">
    <w:name w:val="endnote reference"/>
    <w:uiPriority w:val="99"/>
    <w:semiHidden/>
    <w:unhideWhenUsed/>
    <w:rPr>
      <w:vertAlign w:val="superscript"/>
    </w:rPr>
  </w:style>
  <w:style w:type="paragraph" w:styleId="971">
    <w:name w:val="toc 1"/>
    <w:basedOn w:val="800"/>
    <w:next w:val="800"/>
    <w:uiPriority w:val="39"/>
    <w:unhideWhenUsed/>
    <w:pPr>
      <w:spacing w:after="57"/>
    </w:pPr>
  </w:style>
  <w:style w:type="paragraph" w:styleId="972">
    <w:name w:val="toc 2"/>
    <w:basedOn w:val="800"/>
    <w:next w:val="800"/>
    <w:uiPriority w:val="39"/>
    <w:unhideWhenUsed/>
    <w:pPr>
      <w:ind w:left="283"/>
      <w:spacing w:after="57"/>
    </w:pPr>
  </w:style>
  <w:style w:type="paragraph" w:styleId="973">
    <w:name w:val="toc 3"/>
    <w:basedOn w:val="800"/>
    <w:next w:val="800"/>
    <w:uiPriority w:val="39"/>
    <w:unhideWhenUsed/>
    <w:pPr>
      <w:ind w:left="567"/>
      <w:spacing w:after="57"/>
    </w:pPr>
  </w:style>
  <w:style w:type="paragraph" w:styleId="974">
    <w:name w:val="toc 4"/>
    <w:basedOn w:val="800"/>
    <w:next w:val="800"/>
    <w:uiPriority w:val="39"/>
    <w:unhideWhenUsed/>
    <w:pPr>
      <w:ind w:left="850"/>
      <w:spacing w:after="57"/>
    </w:pPr>
  </w:style>
  <w:style w:type="paragraph" w:styleId="975">
    <w:name w:val="toc 5"/>
    <w:basedOn w:val="800"/>
    <w:next w:val="800"/>
    <w:uiPriority w:val="39"/>
    <w:unhideWhenUsed/>
    <w:pPr>
      <w:ind w:left="1134"/>
      <w:spacing w:after="57"/>
    </w:pPr>
  </w:style>
  <w:style w:type="paragraph" w:styleId="976">
    <w:name w:val="toc 6"/>
    <w:basedOn w:val="800"/>
    <w:next w:val="800"/>
    <w:uiPriority w:val="39"/>
    <w:unhideWhenUsed/>
    <w:pPr>
      <w:ind w:left="1417"/>
      <w:spacing w:after="57"/>
    </w:pPr>
  </w:style>
  <w:style w:type="paragraph" w:styleId="977">
    <w:name w:val="toc 7"/>
    <w:basedOn w:val="800"/>
    <w:next w:val="800"/>
    <w:uiPriority w:val="39"/>
    <w:unhideWhenUsed/>
    <w:pPr>
      <w:ind w:left="1701"/>
      <w:spacing w:after="57"/>
    </w:pPr>
  </w:style>
  <w:style w:type="paragraph" w:styleId="978">
    <w:name w:val="toc 8"/>
    <w:basedOn w:val="800"/>
    <w:next w:val="800"/>
    <w:uiPriority w:val="39"/>
    <w:unhideWhenUsed/>
    <w:pPr>
      <w:ind w:left="1984"/>
      <w:spacing w:after="57"/>
    </w:pPr>
  </w:style>
  <w:style w:type="paragraph" w:styleId="979">
    <w:name w:val="toc 9"/>
    <w:basedOn w:val="800"/>
    <w:next w:val="800"/>
    <w:uiPriority w:val="39"/>
    <w:unhideWhenUsed/>
    <w:pPr>
      <w:ind w:left="2268"/>
      <w:spacing w:after="57"/>
    </w:pPr>
  </w:style>
  <w:style w:type="paragraph" w:styleId="980">
    <w:name w:val="TOC Heading"/>
    <w:uiPriority w:val="39"/>
    <w:unhideWhenUsed/>
  </w:style>
  <w:style w:type="paragraph" w:styleId="981">
    <w:name w:val="table of figures"/>
    <w:basedOn w:val="800"/>
    <w:next w:val="800"/>
    <w:uiPriority w:val="99"/>
    <w:unhideWhenUsed/>
    <w:pPr>
      <w:spacing w:after="0"/>
    </w:pPr>
  </w:style>
  <w:style w:type="character" w:styleId="982" w:customStyle="1">
    <w:name w:val="Верхний колонтитул Знак"/>
    <w:link w:val="832"/>
    <w:uiPriority w:val="99"/>
    <w:rPr>
      <w:sz w:val="22"/>
      <w:szCs w:val="22"/>
      <w:lang w:eastAsia="en-US"/>
    </w:rPr>
  </w:style>
  <w:style w:type="character" w:styleId="983" w:customStyle="1">
    <w:name w:val="Нижний колонтитул Знак"/>
    <w:link w:val="834"/>
    <w:uiPriority w:val="99"/>
    <w:rPr>
      <w:sz w:val="22"/>
      <w:szCs w:val="22"/>
      <w:lang w:eastAsia="en-US"/>
    </w:rPr>
  </w:style>
  <w:style w:type="character" w:styleId="984" w:customStyle="1">
    <w:name w:val="Заголовок 1 Знак"/>
    <w:link w:val="801"/>
    <w:uiPriority w:val="99"/>
    <w:rPr>
      <w:rFonts w:ascii="Times New Roman" w:hAnsi="Times New Roman" w:eastAsia="Times New Roman"/>
      <w:b/>
      <w:bCs/>
      <w:sz w:val="48"/>
      <w:szCs w:val="48"/>
    </w:rPr>
  </w:style>
  <w:style w:type="paragraph" w:styleId="985" w:customStyle="1">
    <w:name w:val="ConsPlusNormal"/>
    <w:link w:val="1021"/>
    <w:pPr>
      <w:widowControl w:val="off"/>
    </w:pPr>
    <w:rPr>
      <w:rFonts w:ascii="Arial" w:hAnsi="Arial" w:eastAsia="Times New Roman" w:cs="Arial"/>
      <w:lang w:eastAsia="ru-RU"/>
    </w:rPr>
  </w:style>
  <w:style w:type="paragraph" w:styleId="986" w:customStyle="1">
    <w:name w:val="ConsPlusCell"/>
    <w:uiPriority w:val="99"/>
    <w:pPr>
      <w:widowControl w:val="off"/>
    </w:pPr>
    <w:rPr>
      <w:rFonts w:ascii="Arial" w:hAnsi="Arial" w:eastAsia="Times New Roman" w:cs="Arial"/>
      <w:lang w:eastAsia="ru-RU"/>
    </w:rPr>
  </w:style>
  <w:style w:type="paragraph" w:styleId="987" w:customStyle="1">
    <w:name w:val="Default"/>
    <w:rPr>
      <w:rFonts w:ascii="Arial" w:hAnsi="Arial" w:eastAsia="Times New Roman" w:cs="Arial"/>
      <w:color w:val="000000"/>
      <w:sz w:val="24"/>
      <w:szCs w:val="24"/>
      <w:lang w:eastAsia="ru-RU"/>
    </w:rPr>
  </w:style>
  <w:style w:type="character" w:styleId="988" w:customStyle="1">
    <w:name w:val="Font Style30"/>
    <w:uiPriority w:val="99"/>
    <w:rPr>
      <w:rFonts w:ascii="Times New Roman" w:hAnsi="Times New Roman" w:cs="Times New Roman"/>
      <w:sz w:val="22"/>
      <w:szCs w:val="22"/>
    </w:rPr>
  </w:style>
  <w:style w:type="paragraph" w:styleId="989" w:customStyle="1">
    <w:name w:val="Style13"/>
    <w:basedOn w:val="800"/>
    <w:pPr>
      <w:jc w:val="both"/>
      <w:spacing w:after="0" w:line="274" w:lineRule="exact"/>
      <w:widowControl w:val="off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90" w:customStyle="1">
    <w:name w:val="Style5"/>
    <w:basedOn w:val="800"/>
    <w:uiPriority w:val="99"/>
    <w:pPr>
      <w:spacing w:after="0" w:line="283" w:lineRule="exact"/>
      <w:widowControl w:val="off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91" w:customStyle="1">
    <w:name w:val="ConsNormal"/>
    <w:pPr>
      <w:ind w:right="19772" w:firstLine="720"/>
      <w:widowControl w:val="off"/>
    </w:pPr>
    <w:rPr>
      <w:rFonts w:ascii="Arial" w:hAnsi="Arial" w:eastAsia="Times New Roman" w:cs="Arial"/>
      <w:sz w:val="16"/>
      <w:szCs w:val="16"/>
      <w:lang w:eastAsia="ru-RU"/>
    </w:rPr>
  </w:style>
  <w:style w:type="paragraph" w:styleId="992">
    <w:name w:val="Normal (Web)"/>
    <w:basedOn w:val="800"/>
    <w:uiPriority w:val="99"/>
    <w:pPr>
      <w:spacing w:before="150" w:after="0" w:line="255" w:lineRule="atLeast"/>
    </w:pPr>
    <w:rPr>
      <w:rFonts w:ascii="Arial" w:hAnsi="Arial" w:eastAsia="Times New Roman" w:cs="Arial"/>
      <w:color w:val="304257"/>
      <w:sz w:val="21"/>
      <w:szCs w:val="21"/>
      <w:lang w:eastAsia="ru-RU"/>
    </w:rPr>
  </w:style>
  <w:style w:type="paragraph" w:styleId="993" w:customStyle="1">
    <w:name w:val="Основной текст 21"/>
    <w:basedOn w:val="800"/>
    <w:pPr>
      <w:jc w:val="both"/>
      <w:spacing w:after="0" w:line="240" w:lineRule="auto"/>
    </w:pPr>
    <w:rPr>
      <w:rFonts w:ascii="Times New Roman" w:hAnsi="Times New Roman" w:eastAsia="Times New Roman"/>
      <w:sz w:val="26"/>
      <w:szCs w:val="20"/>
      <w:lang w:eastAsia="ar-SA"/>
    </w:rPr>
  </w:style>
  <w:style w:type="paragraph" w:styleId="994" w:customStyle="1">
    <w:name w:val="tekstob"/>
    <w:basedOn w:val="80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95">
    <w:name w:val="HTML Preformatted"/>
    <w:basedOn w:val="800"/>
    <w:link w:val="996"/>
    <w:uiPriority w:val="99"/>
    <w:unhideWhenUsed/>
    <w:pPr>
      <w:spacing w:after="0" w:line="240" w:lineRule="auto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/>
      <w:sz w:val="20"/>
      <w:szCs w:val="20"/>
      <w:lang w:val="en-US"/>
    </w:rPr>
  </w:style>
  <w:style w:type="character" w:styleId="996" w:customStyle="1">
    <w:name w:val="Стандартный HTML Знак"/>
    <w:link w:val="995"/>
    <w:uiPriority w:val="99"/>
    <w:rPr>
      <w:rFonts w:ascii="Courier New" w:hAnsi="Courier New" w:eastAsia="Times New Roman" w:cs="Courier New"/>
    </w:rPr>
  </w:style>
  <w:style w:type="character" w:styleId="997">
    <w:name w:val="Strong"/>
    <w:uiPriority w:val="22"/>
    <w:qFormat/>
    <w:rPr>
      <w:b/>
      <w:bCs/>
    </w:rPr>
  </w:style>
  <w:style w:type="paragraph" w:styleId="998" w:customStyle="1">
    <w:name w:val="Style4"/>
    <w:basedOn w:val="800"/>
    <w:uiPriority w:val="99"/>
    <w:pPr>
      <w:jc w:val="center"/>
      <w:spacing w:after="0" w:line="276" w:lineRule="exact"/>
      <w:widowControl w:val="off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99" w:customStyle="1">
    <w:name w:val="ConsPlusNonformat"/>
    <w:uiPriority w:val="99"/>
    <w:pPr>
      <w:widowControl w:val="off"/>
    </w:pPr>
    <w:rPr>
      <w:rFonts w:ascii="Courier New" w:hAnsi="Courier New" w:eastAsia="Times New Roman" w:cs="Courier New"/>
      <w:lang w:eastAsia="ru-RU"/>
    </w:rPr>
  </w:style>
  <w:style w:type="character" w:styleId="1000" w:customStyle="1">
    <w:name w:val="Текст выноски Знак"/>
    <w:link w:val="1001"/>
    <w:uiPriority w:val="99"/>
    <w:semiHidden/>
    <w:rPr>
      <w:rFonts w:ascii="Tahoma" w:hAnsi="Tahoma" w:eastAsia="Times New Roman" w:cs="Tahoma"/>
      <w:sz w:val="16"/>
      <w:szCs w:val="16"/>
    </w:rPr>
  </w:style>
  <w:style w:type="paragraph" w:styleId="1001">
    <w:name w:val="Balloon Text"/>
    <w:basedOn w:val="800"/>
    <w:link w:val="1000"/>
    <w:uiPriority w:val="99"/>
    <w:semiHidden/>
    <w:pPr>
      <w:spacing w:after="0" w:line="240" w:lineRule="auto"/>
    </w:pPr>
    <w:rPr>
      <w:rFonts w:ascii="Tahoma" w:hAnsi="Tahoma" w:eastAsia="Times New Roman"/>
      <w:sz w:val="16"/>
      <w:szCs w:val="16"/>
      <w:lang w:val="en-US"/>
    </w:rPr>
  </w:style>
  <w:style w:type="character" w:styleId="1002" w:customStyle="1">
    <w:name w:val="Текст выноски Знак1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1003" w:customStyle="1">
    <w:name w:val="Текст концевой сноски Знак"/>
    <w:link w:val="968"/>
    <w:uiPriority w:val="99"/>
    <w:semiHidden/>
    <w:rPr>
      <w:rFonts w:eastAsia="Times New Roman"/>
    </w:rPr>
  </w:style>
  <w:style w:type="character" w:styleId="1004" w:customStyle="1">
    <w:name w:val="Текст концевой сноски Знак1"/>
    <w:uiPriority w:val="99"/>
    <w:semiHidden/>
    <w:rPr>
      <w:lang w:eastAsia="en-US"/>
    </w:rPr>
  </w:style>
  <w:style w:type="character" w:styleId="1005" w:customStyle="1">
    <w:name w:val="Текст сноски Знак"/>
    <w:link w:val="965"/>
    <w:uiPriority w:val="99"/>
    <w:rPr>
      <w:rFonts w:eastAsia="Times New Roman"/>
    </w:rPr>
  </w:style>
  <w:style w:type="character" w:styleId="1006" w:customStyle="1">
    <w:name w:val="Текст примечания Знак"/>
    <w:link w:val="1007"/>
    <w:uiPriority w:val="99"/>
    <w:semiHidden/>
    <w:rPr>
      <w:rFonts w:eastAsia="Times New Roman"/>
    </w:rPr>
  </w:style>
  <w:style w:type="paragraph" w:styleId="1007">
    <w:name w:val="annotation text"/>
    <w:basedOn w:val="800"/>
    <w:link w:val="1006"/>
    <w:uiPriority w:val="99"/>
    <w:semiHidden/>
    <w:pPr>
      <w:spacing w:line="240" w:lineRule="auto"/>
    </w:pPr>
    <w:rPr>
      <w:rFonts w:eastAsia="Times New Roman"/>
      <w:sz w:val="20"/>
      <w:szCs w:val="20"/>
      <w:lang w:val="en-US"/>
    </w:rPr>
  </w:style>
  <w:style w:type="character" w:styleId="1008" w:customStyle="1">
    <w:name w:val="Текст примечания Знак1"/>
    <w:uiPriority w:val="99"/>
    <w:semiHidden/>
    <w:rPr>
      <w:lang w:eastAsia="en-US"/>
    </w:rPr>
  </w:style>
  <w:style w:type="character" w:styleId="1009" w:customStyle="1">
    <w:name w:val="Тема примечания Знак"/>
    <w:link w:val="1010"/>
    <w:uiPriority w:val="99"/>
    <w:semiHidden/>
    <w:rPr>
      <w:rFonts w:eastAsia="Times New Roman"/>
      <w:b/>
      <w:bCs/>
    </w:rPr>
  </w:style>
  <w:style w:type="paragraph" w:styleId="1010">
    <w:name w:val="annotation subject"/>
    <w:basedOn w:val="1007"/>
    <w:next w:val="1007"/>
    <w:link w:val="1009"/>
    <w:uiPriority w:val="99"/>
    <w:semiHidden/>
    <w:rPr>
      <w:b/>
      <w:bCs/>
    </w:rPr>
  </w:style>
  <w:style w:type="character" w:styleId="1011" w:customStyle="1">
    <w:name w:val="Тема примечания Знак1"/>
    <w:uiPriority w:val="99"/>
    <w:semiHidden/>
    <w:rPr>
      <w:b/>
      <w:bCs/>
      <w:lang w:eastAsia="en-US"/>
    </w:rPr>
  </w:style>
  <w:style w:type="paragraph" w:styleId="1012" w:customStyle="1">
    <w:name w:val="Паспорт госпрограммы"/>
    <w:basedOn w:val="800"/>
    <w:uiPriority w:val="99"/>
    <w:pPr>
      <w:ind w:firstLine="284"/>
      <w:jc w:val="both"/>
      <w:spacing w:after="0" w:line="240" w:lineRule="auto"/>
    </w:pPr>
    <w:rPr>
      <w:rFonts w:ascii="Times New Roman" w:hAnsi="Times New Roman" w:eastAsia="Times New Roman"/>
      <w:sz w:val="26"/>
      <w:szCs w:val="28"/>
    </w:rPr>
  </w:style>
  <w:style w:type="character" w:styleId="1013" w:customStyle="1">
    <w:name w:val="Font Style11"/>
    <w:uiPriority w:val="99"/>
    <w:rPr>
      <w:rFonts w:ascii="Times New Roman" w:hAnsi="Times New Roman" w:cs="Times New Roman"/>
      <w:sz w:val="26"/>
      <w:szCs w:val="26"/>
    </w:rPr>
  </w:style>
  <w:style w:type="paragraph" w:styleId="1014" w:customStyle="1">
    <w:name w:val="Style2"/>
    <w:basedOn w:val="800"/>
    <w:uiPriority w:val="99"/>
    <w:pPr>
      <w:jc w:val="center"/>
      <w:spacing w:after="0" w:line="240" w:lineRule="auto"/>
      <w:widowControl w:val="off"/>
    </w:pPr>
    <w:rPr>
      <w:rFonts w:ascii="Times New Roman" w:hAnsi="Times New Roman" w:eastAsia="Times New Roman"/>
      <w:sz w:val="24"/>
      <w:szCs w:val="24"/>
      <w:lang w:eastAsia="ru-RU"/>
    </w:rPr>
  </w:style>
  <w:style w:type="table" w:styleId="1015" w:customStyle="1">
    <w:name w:val="Сетка таблицы1"/>
    <w:basedOn w:val="811"/>
    <w:next w:val="838"/>
    <w:uiPriority w:val="39"/>
    <w:pPr>
      <w:ind w:firstLine="851"/>
    </w:pPr>
    <w:rPr>
      <w:rFonts w:ascii="Times New Roman" w:hAnsi="Times New Roman"/>
      <w:sz w:val="28"/>
      <w:szCs w:val="22"/>
      <w:lang w:eastAsia="en-US"/>
    </w:rPr>
    <w:tblPr/>
  </w:style>
  <w:style w:type="paragraph" w:styleId="1016" w:customStyle="1">
    <w:name w:val="ConsPlusTitle"/>
    <w:pPr>
      <w:widowControl w:val="off"/>
    </w:pPr>
    <w:rPr>
      <w:rFonts w:ascii="Arial" w:hAnsi="Arial" w:eastAsia="Times New Roman" w:cs="Arial"/>
      <w:b/>
      <w:szCs w:val="22"/>
      <w:lang w:eastAsia="ru-RU"/>
    </w:rPr>
  </w:style>
  <w:style w:type="numbering" w:styleId="1017" w:customStyle="1">
    <w:name w:val="Нет списка1"/>
    <w:next w:val="812"/>
    <w:uiPriority w:val="99"/>
    <w:semiHidden/>
    <w:unhideWhenUsed/>
  </w:style>
  <w:style w:type="table" w:styleId="1018" w:customStyle="1">
    <w:name w:val="Сетка таблицы2"/>
    <w:basedOn w:val="811"/>
    <w:next w:val="838"/>
    <w:uiPriority w:val="39"/>
    <w:tblPr/>
  </w:style>
  <w:style w:type="table" w:styleId="1019" w:customStyle="1">
    <w:name w:val="Сетка таблицы11"/>
    <w:basedOn w:val="811"/>
    <w:next w:val="838"/>
    <w:uiPriority w:val="39"/>
    <w:pPr>
      <w:ind w:firstLine="851"/>
    </w:pPr>
    <w:rPr>
      <w:rFonts w:ascii="Times New Roman" w:hAnsi="Times New Roman"/>
      <w:sz w:val="28"/>
      <w:szCs w:val="22"/>
      <w:lang w:eastAsia="en-US"/>
    </w:rPr>
    <w:tblPr/>
  </w:style>
  <w:style w:type="character" w:styleId="1020" w:customStyle="1">
    <w:name w:val="Заголовок 2 Знак"/>
    <w:link w:val="802"/>
    <w:uiPriority w:val="9"/>
    <w:semiHidden/>
    <w:rPr>
      <w:rFonts w:ascii="Calibri Light" w:hAnsi="Calibri Light" w:eastAsia="Times New Roman" w:cs="Times New Roman"/>
      <w:b/>
      <w:bCs/>
      <w:i/>
      <w:iCs/>
      <w:sz w:val="28"/>
      <w:szCs w:val="28"/>
      <w:lang w:eastAsia="en-US"/>
    </w:rPr>
  </w:style>
  <w:style w:type="character" w:styleId="1021" w:customStyle="1">
    <w:name w:val="ConsPlusNormal Знак"/>
    <w:link w:val="985"/>
    <w:rPr>
      <w:rFonts w:ascii="Arial" w:hAnsi="Arial" w:eastAsia="Times New Roman" w:cs="Arial"/>
    </w:rPr>
  </w:style>
  <w:style w:type="character" w:styleId="1022" w:customStyle="1">
    <w:name w:val="Заголовок 4 Знак"/>
    <w:link w:val="804"/>
    <w:uiPriority w:val="9"/>
    <w:semiHidden/>
    <w:rPr>
      <w:rFonts w:ascii="Calibri" w:hAnsi="Calibri" w:eastAsia="Times New Roman" w:cs="Times New Roman"/>
      <w:b/>
      <w:bCs/>
      <w:sz w:val="28"/>
      <w:szCs w:val="28"/>
      <w:lang w:eastAsia="en-US"/>
    </w:rPr>
  </w:style>
  <w:style w:type="paragraph" w:styleId="1023" w:customStyle="1">
    <w:name w:val="Table Paragraph"/>
    <w:basedOn w:val="800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/>
    </w:rPr>
  </w:style>
  <w:style w:type="paragraph" w:styleId="1024" w:customStyle="1">
    <w:name w:val="ConsPlusTitlePag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ahoma" w:hAnsi="Tahoma" w:cs="Tahoma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hyperlink" Target="https://login.consultant.ru/link/?req=doc&amp;base=LAW&amp;n=446531&amp;dst=100009" TargetMode="External"/><Relationship Id="rId16" Type="http://schemas.openxmlformats.org/officeDocument/2006/relationships/hyperlink" Target="https://login.consultant.ru/link/?req=doc&amp;base=LAW&amp;n=357927" TargetMode="External"/><Relationship Id="rId17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hyperlink" Target="https://login.consultant.ru/link/?req=doc&amp;base=LAW&amp;n=446531" TargetMode="External"/><Relationship Id="rId19" Type="http://schemas.openxmlformats.org/officeDocument/2006/relationships/hyperlink" Target="https://login.consultant.ru/link/?req=doc&amp;base=LAW&amp;n=398015" TargetMode="External"/><Relationship Id="rId20" Type="http://schemas.openxmlformats.org/officeDocument/2006/relationships/hyperlink" Target="https://login.consultant.ru/link/?req=doc&amp;base=LAW&amp;n=446531" TargetMode="External"/><Relationship Id="rId21" Type="http://schemas.openxmlformats.org/officeDocument/2006/relationships/hyperlink" Target="https://login.consultant.ru/link/?req=doc&amp;base=LAW&amp;n=398015" TargetMode="External"/><Relationship Id="rId22" Type="http://schemas.openxmlformats.org/officeDocument/2006/relationships/hyperlink" Target="https://login.consultant.ru/link/?req=doc&amp;base=LAW&amp;n=446531" TargetMode="External"/><Relationship Id="rId23" Type="http://schemas.openxmlformats.org/officeDocument/2006/relationships/hyperlink" Target="https://login.consultant.ru/link/?req=doc&amp;base=LAW&amp;n=398015" TargetMode="External"/><Relationship Id="rId24" Type="http://schemas.openxmlformats.org/officeDocument/2006/relationships/hyperlink" Target="https://login.consultant.ru/link/?req=doc&amp;base=LAW&amp;n=446531" TargetMode="External"/><Relationship Id="rId25" Type="http://schemas.openxmlformats.org/officeDocument/2006/relationships/hyperlink" Target="https://login.consultant.ru/link/?req=doc&amp;base=LAW&amp;n=398015" TargetMode="External"/><Relationship Id="rId26" Type="http://schemas.openxmlformats.org/officeDocument/2006/relationships/hyperlink" Target="https://login.consultant.ru/link/?req=doc&amp;base=LAW&amp;n=446531" TargetMode="External"/><Relationship Id="rId27" Type="http://schemas.openxmlformats.org/officeDocument/2006/relationships/hyperlink" Target="https://login.consultant.ru/link/?req=doc&amp;base=LAW&amp;n=398015" TargetMode="External"/><Relationship Id="rId28" Type="http://schemas.openxmlformats.org/officeDocument/2006/relationships/hyperlink" Target="https://login.consultant.ru/link/?req=doc&amp;base=LAW&amp;n=446531" TargetMode="External"/><Relationship Id="rId29" Type="http://schemas.openxmlformats.org/officeDocument/2006/relationships/hyperlink" Target="https://login.consultant.ru/link/?req=doc&amp;base=LAW&amp;n=398015" TargetMode="External"/><Relationship Id="rId30" Type="http://schemas.openxmlformats.org/officeDocument/2006/relationships/hyperlink" Target="https://login.consultant.ru/link/?req=doc&amp;base=LAW&amp;n=446531" TargetMode="External"/><Relationship Id="rId31" Type="http://schemas.openxmlformats.org/officeDocument/2006/relationships/hyperlink" Target="https://login.consultant.ru/link/?req=doc&amp;base=LAW&amp;n=398015" TargetMode="External"/><Relationship Id="rId32" Type="http://schemas.openxmlformats.org/officeDocument/2006/relationships/hyperlink" Target="https://login.consultant.ru/link/?req=doc&amp;base=LAW&amp;n=441135" TargetMode="External"/><Relationship Id="rId33" Type="http://schemas.openxmlformats.org/officeDocument/2006/relationships/hyperlink" Target="https://login.consultant.ru/link/?req=doc&amp;base=LAW&amp;n=482062" TargetMode="External"/><Relationship Id="rId34" Type="http://schemas.openxmlformats.org/officeDocument/2006/relationships/hyperlink" Target="https://login.consultant.ru/link/?req=doc&amp;base=LAW&amp;n=482062" TargetMode="External"/><Relationship Id="rId35" Type="http://schemas.openxmlformats.org/officeDocument/2006/relationships/hyperlink" Target="https://login.consultant.ru/link/?req=doc&amp;base=LAW&amp;n=482062" TargetMode="External"/><Relationship Id="rId36" Type="http://schemas.openxmlformats.org/officeDocument/2006/relationships/hyperlink" Target="https://login.consultant.ru/link/?req=doc&amp;base=LAW&amp;n=482062" TargetMode="External"/><Relationship Id="rId37" Type="http://schemas.openxmlformats.org/officeDocument/2006/relationships/hyperlink" Target="https://login.consultant.ru/link/?req=doc&amp;base=LAW&amp;n=482062" TargetMode="External"/><Relationship Id="rId38" Type="http://schemas.openxmlformats.org/officeDocument/2006/relationships/hyperlink" Target="https://login.consultant.ru/link/?req=doc&amp;base=LAW&amp;n=482062" TargetMode="External"/><Relationship Id="rId39" Type="http://schemas.openxmlformats.org/officeDocument/2006/relationships/hyperlink" Target="https://login.consultant.ru/link/?req=doc&amp;base=LAW&amp;n=441135" TargetMode="External"/><Relationship Id="rId40" Type="http://schemas.openxmlformats.org/officeDocument/2006/relationships/hyperlink" Target="https://login.consultant.ru/link/?req=doc&amp;base=LAW&amp;n=482062" TargetMode="External"/><Relationship Id="rId41" Type="http://schemas.openxmlformats.org/officeDocument/2006/relationships/hyperlink" Target="https://login.consultant.ru/link/?req=doc&amp;base=LAW&amp;n=482062" TargetMode="External"/><Relationship Id="rId42" Type="http://schemas.openxmlformats.org/officeDocument/2006/relationships/hyperlink" Target="https://login.consultant.ru/link/?req=doc&amp;base=LAW&amp;n=441135" TargetMode="External"/><Relationship Id="rId43" Type="http://schemas.openxmlformats.org/officeDocument/2006/relationships/hyperlink" Target="https://login.consultant.ru/link/?req=doc&amp;base=LAW&amp;n=482062" TargetMode="External"/><Relationship Id="rId44" Type="http://schemas.openxmlformats.org/officeDocument/2006/relationships/hyperlink" Target="https://login.consultant.ru/link/?req=doc&amp;base=LAW&amp;n=482062" TargetMode="External"/><Relationship Id="rId45" Type="http://schemas.openxmlformats.org/officeDocument/2006/relationships/hyperlink" Target="https://login.consultant.ru/link/?req=doc&amp;base=LAW&amp;n=441135" TargetMode="External"/><Relationship Id="rId46" Type="http://schemas.openxmlformats.org/officeDocument/2006/relationships/hyperlink" Target="https://login.consultant.ru/link/?req=doc&amp;base=LAW&amp;n=451632&amp;dst=100015" TargetMode="External"/><Relationship Id="rId47" Type="http://schemas.openxmlformats.org/officeDocument/2006/relationships/hyperlink" Target="https://login.consultant.ru/link/?req=doc&amp;base=LAW&amp;n=451632&amp;dst=100015" TargetMode="External"/><Relationship Id="rId48" Type="http://schemas.openxmlformats.org/officeDocument/2006/relationships/hyperlink" Target="https://login.consultant.ru/link/?req=doc&amp;base=LAW&amp;n=351791&amp;dst=100010" TargetMode="External"/><Relationship Id="rId49" Type="http://schemas.openxmlformats.org/officeDocument/2006/relationships/hyperlink" Target="https://login.consultant.ru/link/?req=doc&amp;base=LAW&amp;n=451632&amp;dst=100015" TargetMode="External"/><Relationship Id="rId50" Type="http://schemas.openxmlformats.org/officeDocument/2006/relationships/hyperlink" Target="https://login.consultant.ru/link/?req=doc&amp;base=LAW&amp;n=351791&amp;dst=100010" TargetMode="External"/><Relationship Id="rId51" Type="http://schemas.openxmlformats.org/officeDocument/2006/relationships/hyperlink" Target="https://login.consultant.ru/link/?req=doc&amp;base=LAW&amp;n=451632&amp;dst=100015" TargetMode="External"/><Relationship Id="rId52" Type="http://schemas.openxmlformats.org/officeDocument/2006/relationships/hyperlink" Target="https://login.consultant.ru/link/?req=doc&amp;base=LAW&amp;n=451632&amp;dst=100015" TargetMode="External"/><Relationship Id="rId53" Type="http://schemas.openxmlformats.org/officeDocument/2006/relationships/hyperlink" Target="https://login.consultant.ru/link/?req=doc&amp;base=LAW&amp;n=451632&amp;dst=100015" TargetMode="External"/><Relationship Id="rId54" Type="http://schemas.openxmlformats.org/officeDocument/2006/relationships/hyperlink" Target="https://login.consultant.ru/link/?req=doc&amp;base=LAW&amp;n=308989&amp;dst=100014" TargetMode="External"/><Relationship Id="rId55" Type="http://schemas.openxmlformats.org/officeDocument/2006/relationships/hyperlink" Target="https://login.consultant.ru/link/?req=doc&amp;base=LAW&amp;n=451632&amp;dst=100015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50</cp:revision>
  <dcterms:created xsi:type="dcterms:W3CDTF">2024-11-13T14:36:00Z</dcterms:created>
  <dcterms:modified xsi:type="dcterms:W3CDTF">2025-04-21T08:39:51Z</dcterms:modified>
  <cp:version>983040</cp:version>
</cp:coreProperties>
</file>